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D313" w14:textId="77777777" w:rsidR="00683E83" w:rsidRDefault="00683E83" w:rsidP="00683E83">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EAP Evaluation 2010-2019:  What Do We Now Know?</w:t>
      </w:r>
    </w:p>
    <w:p w14:paraId="7F4B5671" w14:textId="77777777" w:rsidR="00683E83" w:rsidRDefault="00683E83" w:rsidP="00683E83">
      <w:pPr>
        <w:spacing w:line="360" w:lineRule="auto"/>
        <w:jc w:val="center"/>
        <w:rPr>
          <w:rFonts w:ascii="Times New Roman" w:hAnsi="Times New Roman" w:cs="Times New Roman"/>
          <w:sz w:val="24"/>
          <w:szCs w:val="24"/>
        </w:rPr>
      </w:pPr>
    </w:p>
    <w:p w14:paraId="08402564" w14:textId="77777777" w:rsidR="00683E83" w:rsidRDefault="00683E83" w:rsidP="00683E83">
      <w:pPr>
        <w:spacing w:line="360" w:lineRule="auto"/>
        <w:jc w:val="center"/>
        <w:rPr>
          <w:rFonts w:ascii="Times New Roman" w:hAnsi="Times New Roman" w:cs="Times New Roman"/>
          <w:sz w:val="24"/>
          <w:szCs w:val="24"/>
        </w:rPr>
      </w:pPr>
      <w:r>
        <w:rPr>
          <w:rFonts w:ascii="Times New Roman" w:hAnsi="Times New Roman" w:cs="Times New Roman"/>
          <w:sz w:val="24"/>
          <w:szCs w:val="24"/>
        </w:rPr>
        <w:t>Rick Csiernik</w:t>
      </w:r>
    </w:p>
    <w:p w14:paraId="1FE71604" w14:textId="77777777" w:rsidR="00683E83" w:rsidRDefault="00683E83" w:rsidP="00683E83">
      <w:pPr>
        <w:spacing w:line="360" w:lineRule="auto"/>
        <w:jc w:val="center"/>
        <w:rPr>
          <w:rFonts w:ascii="Times New Roman" w:hAnsi="Times New Roman" w:cs="Times New Roman"/>
          <w:sz w:val="24"/>
          <w:szCs w:val="24"/>
        </w:rPr>
      </w:pPr>
      <w:r>
        <w:rPr>
          <w:rFonts w:ascii="Times New Roman" w:hAnsi="Times New Roman" w:cs="Times New Roman"/>
          <w:sz w:val="24"/>
          <w:szCs w:val="24"/>
        </w:rPr>
        <w:t>King’s University College at Western University</w:t>
      </w:r>
    </w:p>
    <w:p w14:paraId="7F446321" w14:textId="77777777" w:rsidR="00683E83" w:rsidRDefault="00683E83" w:rsidP="00683E83">
      <w:pPr>
        <w:rPr>
          <w:rFonts w:ascii="Times New Roman" w:hAnsi="Times New Roman" w:cs="Times New Roman"/>
          <w:sz w:val="24"/>
          <w:szCs w:val="24"/>
        </w:rPr>
      </w:pPr>
    </w:p>
    <w:p w14:paraId="7D9BD45B" w14:textId="77777777" w:rsidR="00683E83" w:rsidRPr="00A4122E" w:rsidRDefault="00683E83" w:rsidP="00683E83">
      <w:pPr>
        <w:jc w:val="center"/>
        <w:rPr>
          <w:rFonts w:ascii="Times New Roman" w:hAnsi="Times New Roman" w:cs="Times New Roman"/>
          <w:sz w:val="24"/>
          <w:szCs w:val="24"/>
        </w:rPr>
      </w:pPr>
      <w:r>
        <w:rPr>
          <w:rFonts w:ascii="Times New Roman" w:hAnsi="Times New Roman" w:cs="Times New Roman"/>
          <w:sz w:val="24"/>
          <w:szCs w:val="24"/>
        </w:rPr>
        <w:t>Mikaeli Cavell</w:t>
      </w:r>
    </w:p>
    <w:p w14:paraId="5E2EB280" w14:textId="77777777" w:rsidR="00683E83" w:rsidRPr="00A4122E" w:rsidRDefault="00683E83" w:rsidP="00683E83">
      <w:pPr>
        <w:jc w:val="center"/>
        <w:rPr>
          <w:rFonts w:ascii="Times New Roman" w:hAnsi="Times New Roman" w:cs="Times New Roman"/>
          <w:sz w:val="24"/>
          <w:szCs w:val="24"/>
        </w:rPr>
      </w:pPr>
      <w:r>
        <w:rPr>
          <w:rFonts w:ascii="Times New Roman" w:hAnsi="Times New Roman" w:cs="Times New Roman"/>
          <w:sz w:val="24"/>
          <w:szCs w:val="24"/>
        </w:rPr>
        <w:t>Ontario Tech University</w:t>
      </w:r>
    </w:p>
    <w:p w14:paraId="4082B3B0" w14:textId="77777777" w:rsidR="00683E83" w:rsidRDefault="00683E83" w:rsidP="00683E83">
      <w:pPr>
        <w:spacing w:line="360" w:lineRule="auto"/>
        <w:jc w:val="center"/>
        <w:rPr>
          <w:rFonts w:ascii="Times New Roman" w:hAnsi="Times New Roman" w:cs="Times New Roman"/>
          <w:sz w:val="24"/>
          <w:szCs w:val="24"/>
        </w:rPr>
      </w:pPr>
    </w:p>
    <w:p w14:paraId="713442F2" w14:textId="77777777" w:rsidR="00683E83" w:rsidRDefault="00683E83" w:rsidP="00683E83">
      <w:pPr>
        <w:spacing w:line="360" w:lineRule="auto"/>
        <w:jc w:val="center"/>
        <w:rPr>
          <w:rFonts w:ascii="Times New Roman" w:hAnsi="Times New Roman" w:cs="Times New Roman"/>
          <w:sz w:val="24"/>
          <w:szCs w:val="24"/>
        </w:rPr>
      </w:pPr>
      <w:r>
        <w:rPr>
          <w:rFonts w:ascii="Times New Roman" w:hAnsi="Times New Roman" w:cs="Times New Roman"/>
          <w:sz w:val="24"/>
          <w:szCs w:val="24"/>
        </w:rPr>
        <w:t>Ben Csiernik</w:t>
      </w:r>
    </w:p>
    <w:p w14:paraId="7CF94036" w14:textId="77777777" w:rsidR="00683E83" w:rsidRDefault="00683E83" w:rsidP="00683E83">
      <w:pPr>
        <w:spacing w:line="360" w:lineRule="auto"/>
        <w:jc w:val="center"/>
        <w:rPr>
          <w:rFonts w:ascii="Times New Roman" w:hAnsi="Times New Roman" w:cs="Times New Roman"/>
          <w:sz w:val="24"/>
          <w:szCs w:val="24"/>
        </w:rPr>
      </w:pPr>
      <w:r>
        <w:rPr>
          <w:rFonts w:ascii="Times New Roman" w:hAnsi="Times New Roman" w:cs="Times New Roman"/>
          <w:sz w:val="24"/>
          <w:szCs w:val="24"/>
        </w:rPr>
        <w:t>Canadian Memorial Chiropractic College</w:t>
      </w:r>
    </w:p>
    <w:p w14:paraId="6B98CB5D" w14:textId="77777777" w:rsidR="00683E83" w:rsidRDefault="00683E83" w:rsidP="00683E83">
      <w:pPr>
        <w:spacing w:line="480" w:lineRule="auto"/>
        <w:jc w:val="center"/>
        <w:rPr>
          <w:rFonts w:ascii="Times New Roman" w:hAnsi="Times New Roman" w:cs="Times New Roman"/>
          <w:sz w:val="24"/>
          <w:szCs w:val="24"/>
        </w:rPr>
      </w:pPr>
    </w:p>
    <w:p w14:paraId="2FA8448A" w14:textId="77777777" w:rsidR="00683E83" w:rsidRDefault="00683E83" w:rsidP="00683E83">
      <w:pPr>
        <w:spacing w:line="480" w:lineRule="auto"/>
        <w:jc w:val="center"/>
        <w:rPr>
          <w:rFonts w:ascii="Times New Roman" w:hAnsi="Times New Roman" w:cs="Times New Roman"/>
          <w:sz w:val="24"/>
          <w:szCs w:val="24"/>
        </w:rPr>
      </w:pPr>
    </w:p>
    <w:p w14:paraId="50E3FAD4" w14:textId="77777777" w:rsidR="00683E83" w:rsidRDefault="00683E83" w:rsidP="00683E83">
      <w:pPr>
        <w:spacing w:line="480" w:lineRule="auto"/>
        <w:jc w:val="center"/>
        <w:rPr>
          <w:rFonts w:ascii="Times New Roman" w:hAnsi="Times New Roman" w:cs="Times New Roman"/>
          <w:sz w:val="24"/>
          <w:szCs w:val="24"/>
        </w:rPr>
      </w:pPr>
    </w:p>
    <w:p w14:paraId="1DEBD409" w14:textId="655A365A" w:rsidR="00683E83" w:rsidRDefault="00683E83" w:rsidP="00683E83">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15BF550F" w14:textId="7B32104B" w:rsidR="00683E83" w:rsidRDefault="00683E83" w:rsidP="00683E83">
      <w:pPr>
        <w:jc w:val="center"/>
        <w:rPr>
          <w:rFonts w:ascii="Times New Roman" w:hAnsi="Times New Roman" w:cs="Times New Roman"/>
          <w:b/>
          <w:bCs/>
          <w:sz w:val="24"/>
          <w:szCs w:val="24"/>
        </w:rPr>
      </w:pPr>
      <w:r w:rsidRPr="007A3818">
        <w:rPr>
          <w:rFonts w:ascii="Times New Roman" w:hAnsi="Times New Roman" w:cs="Times New Roman"/>
          <w:sz w:val="24"/>
          <w:szCs w:val="24"/>
        </w:rPr>
        <w:t xml:space="preserve">Five electronic databases were searched using the key words </w:t>
      </w:r>
      <w:r w:rsidRPr="007A3818">
        <w:rPr>
          <w:rStyle w:val="apple-style-span"/>
          <w:rFonts w:ascii="Times New Roman" w:hAnsi="Times New Roman" w:cs="Times New Roman"/>
          <w:bCs/>
          <w:color w:val="000000"/>
          <w:sz w:val="24"/>
          <w:szCs w:val="24"/>
        </w:rPr>
        <w:t>"Employee Assistance", "research" and "evaluation" for articles published from 20</w:t>
      </w:r>
      <w:r>
        <w:rPr>
          <w:rStyle w:val="apple-style-span"/>
          <w:rFonts w:ascii="Times New Roman" w:hAnsi="Times New Roman" w:cs="Times New Roman"/>
          <w:bCs/>
          <w:color w:val="000000"/>
          <w:sz w:val="24"/>
          <w:szCs w:val="24"/>
        </w:rPr>
        <w:t>1</w:t>
      </w:r>
      <w:r w:rsidRPr="007A3818">
        <w:rPr>
          <w:rStyle w:val="apple-style-span"/>
          <w:rFonts w:ascii="Times New Roman" w:hAnsi="Times New Roman" w:cs="Times New Roman"/>
          <w:bCs/>
          <w:color w:val="000000"/>
          <w:sz w:val="24"/>
          <w:szCs w:val="24"/>
        </w:rPr>
        <w:t>0 to 20</w:t>
      </w:r>
      <w:r>
        <w:rPr>
          <w:rStyle w:val="apple-style-span"/>
          <w:rFonts w:ascii="Times New Roman" w:hAnsi="Times New Roman" w:cs="Times New Roman"/>
          <w:bCs/>
          <w:color w:val="000000"/>
          <w:sz w:val="24"/>
          <w:szCs w:val="24"/>
        </w:rPr>
        <w:t>1</w:t>
      </w:r>
      <w:r w:rsidRPr="007A3818">
        <w:rPr>
          <w:rStyle w:val="apple-style-span"/>
          <w:rFonts w:ascii="Times New Roman" w:hAnsi="Times New Roman" w:cs="Times New Roman"/>
          <w:bCs/>
          <w:color w:val="000000"/>
          <w:sz w:val="24"/>
          <w:szCs w:val="24"/>
        </w:rPr>
        <w:t xml:space="preserve">9 along with a manual search of </w:t>
      </w:r>
      <w:r w:rsidRPr="007A3818">
        <w:rPr>
          <w:rFonts w:ascii="Times New Roman" w:hAnsi="Times New Roman" w:cs="Times New Roman"/>
          <w:sz w:val="24"/>
          <w:szCs w:val="24"/>
        </w:rPr>
        <w:t xml:space="preserve">the two prominent journals in the Employee Assistance field.  </w:t>
      </w:r>
      <w:r>
        <w:rPr>
          <w:rFonts w:ascii="Times New Roman" w:hAnsi="Times New Roman" w:cs="Times New Roman"/>
          <w:sz w:val="24"/>
          <w:szCs w:val="24"/>
        </w:rPr>
        <w:t>Twenty</w:t>
      </w:r>
      <w:r w:rsidRPr="007A3818">
        <w:rPr>
          <w:rFonts w:ascii="Times New Roman" w:hAnsi="Times New Roman" w:cs="Times New Roman"/>
          <w:sz w:val="24"/>
          <w:szCs w:val="24"/>
        </w:rPr>
        <w:t>-</w:t>
      </w:r>
      <w:r>
        <w:rPr>
          <w:rFonts w:ascii="Times New Roman" w:hAnsi="Times New Roman" w:cs="Times New Roman"/>
          <w:sz w:val="24"/>
          <w:szCs w:val="24"/>
        </w:rPr>
        <w:t>six</w:t>
      </w:r>
      <w:r w:rsidRPr="007A3818">
        <w:rPr>
          <w:rFonts w:ascii="Times New Roman" w:hAnsi="Times New Roman" w:cs="Times New Roman"/>
          <w:sz w:val="24"/>
          <w:szCs w:val="24"/>
        </w:rPr>
        <w:t xml:space="preserve"> evaluations were found which were categorized using Macdonald's </w:t>
      </w:r>
      <w:r>
        <w:rPr>
          <w:rFonts w:ascii="Times New Roman" w:hAnsi="Times New Roman" w:cs="Times New Roman"/>
          <w:sz w:val="24"/>
          <w:szCs w:val="24"/>
        </w:rPr>
        <w:t>evaluation typology</w:t>
      </w:r>
      <w:r w:rsidRPr="007A3818">
        <w:rPr>
          <w:rFonts w:ascii="Times New Roman" w:hAnsi="Times New Roman" w:cs="Times New Roman"/>
          <w:sz w:val="24"/>
          <w:szCs w:val="24"/>
        </w:rPr>
        <w:t xml:space="preserve"> into four groups: needs assessments (n=</w:t>
      </w:r>
      <w:r>
        <w:rPr>
          <w:rFonts w:ascii="Times New Roman" w:hAnsi="Times New Roman" w:cs="Times New Roman"/>
          <w:sz w:val="24"/>
          <w:szCs w:val="24"/>
        </w:rPr>
        <w:t>1</w:t>
      </w:r>
      <w:r w:rsidRPr="007A3818">
        <w:rPr>
          <w:rFonts w:ascii="Times New Roman" w:hAnsi="Times New Roman" w:cs="Times New Roman"/>
          <w:sz w:val="24"/>
          <w:szCs w:val="24"/>
        </w:rPr>
        <w:t xml:space="preserve">), program development </w:t>
      </w:r>
      <w:r>
        <w:rPr>
          <w:rFonts w:ascii="Times New Roman" w:hAnsi="Times New Roman" w:cs="Times New Roman"/>
          <w:sz w:val="24"/>
          <w:szCs w:val="24"/>
        </w:rPr>
        <w:t>[</w:t>
      </w:r>
      <w:r w:rsidRPr="007A3818">
        <w:rPr>
          <w:rFonts w:ascii="Times New Roman" w:hAnsi="Times New Roman" w:cs="Times New Roman"/>
          <w:sz w:val="24"/>
          <w:szCs w:val="24"/>
        </w:rPr>
        <w:t>case study</w:t>
      </w:r>
      <w:r>
        <w:rPr>
          <w:rFonts w:ascii="Times New Roman" w:hAnsi="Times New Roman" w:cs="Times New Roman"/>
          <w:sz w:val="24"/>
          <w:szCs w:val="24"/>
        </w:rPr>
        <w:t>]</w:t>
      </w:r>
      <w:r w:rsidRPr="007A3818">
        <w:rPr>
          <w:rFonts w:ascii="Times New Roman" w:hAnsi="Times New Roman" w:cs="Times New Roman"/>
          <w:sz w:val="24"/>
          <w:szCs w:val="24"/>
        </w:rPr>
        <w:t xml:space="preserve"> (n=</w:t>
      </w:r>
      <w:r>
        <w:rPr>
          <w:rFonts w:ascii="Times New Roman" w:hAnsi="Times New Roman" w:cs="Times New Roman"/>
          <w:sz w:val="24"/>
          <w:szCs w:val="24"/>
        </w:rPr>
        <w:t>3</w:t>
      </w:r>
      <w:r w:rsidRPr="007A3818">
        <w:rPr>
          <w:rFonts w:ascii="Times New Roman" w:hAnsi="Times New Roman" w:cs="Times New Roman"/>
          <w:sz w:val="24"/>
          <w:szCs w:val="24"/>
        </w:rPr>
        <w:t>), outcome (n=1</w:t>
      </w:r>
      <w:r>
        <w:rPr>
          <w:rFonts w:ascii="Times New Roman" w:hAnsi="Times New Roman" w:cs="Times New Roman"/>
          <w:sz w:val="24"/>
          <w:szCs w:val="24"/>
        </w:rPr>
        <w:t>5</w:t>
      </w:r>
      <w:r w:rsidRPr="007A3818">
        <w:rPr>
          <w:rFonts w:ascii="Times New Roman" w:hAnsi="Times New Roman" w:cs="Times New Roman"/>
          <w:sz w:val="24"/>
          <w:szCs w:val="24"/>
        </w:rPr>
        <w:t>) and process (n=</w:t>
      </w:r>
      <w:r>
        <w:rPr>
          <w:rFonts w:ascii="Times New Roman" w:hAnsi="Times New Roman" w:cs="Times New Roman"/>
          <w:sz w:val="24"/>
          <w:szCs w:val="24"/>
        </w:rPr>
        <w:t>7</w:t>
      </w:r>
      <w:r w:rsidRPr="007A3818">
        <w:rPr>
          <w:rFonts w:ascii="Times New Roman" w:hAnsi="Times New Roman" w:cs="Times New Roman"/>
          <w:sz w:val="24"/>
          <w:szCs w:val="24"/>
        </w:rPr>
        <w:t xml:space="preserve">). </w:t>
      </w:r>
      <w:r>
        <w:rPr>
          <w:rFonts w:ascii="Times New Roman" w:hAnsi="Times New Roman" w:cs="Times New Roman"/>
          <w:sz w:val="24"/>
          <w:szCs w:val="24"/>
        </w:rPr>
        <w:t xml:space="preserve">There were as many international as American studies (n=13).  While most evaluations were conducted by organizations with internal models (n=9) they were not the majority as there were eight evaluations examining external EAPs and five that examined hybrid internal/external models.  </w:t>
      </w:r>
      <w:r w:rsidRPr="007A3818">
        <w:rPr>
          <w:rFonts w:ascii="Times New Roman" w:hAnsi="Times New Roman" w:cs="Times New Roman"/>
          <w:sz w:val="24"/>
          <w:szCs w:val="24"/>
        </w:rPr>
        <w:t xml:space="preserve">A broad range of methodologies </w:t>
      </w:r>
      <w:r>
        <w:rPr>
          <w:rFonts w:ascii="Times New Roman" w:hAnsi="Times New Roman" w:cs="Times New Roman"/>
          <w:sz w:val="24"/>
          <w:szCs w:val="24"/>
        </w:rPr>
        <w:t xml:space="preserve">were </w:t>
      </w:r>
      <w:r w:rsidRPr="007A3818">
        <w:rPr>
          <w:rFonts w:ascii="Times New Roman" w:hAnsi="Times New Roman" w:cs="Times New Roman"/>
          <w:sz w:val="24"/>
          <w:szCs w:val="24"/>
        </w:rPr>
        <w:t xml:space="preserve">employed that </w:t>
      </w:r>
      <w:r>
        <w:rPr>
          <w:rFonts w:ascii="Times New Roman" w:hAnsi="Times New Roman" w:cs="Times New Roman"/>
          <w:sz w:val="24"/>
          <w:szCs w:val="24"/>
        </w:rPr>
        <w:t xml:space="preserve">demonstrated </w:t>
      </w:r>
      <w:r w:rsidRPr="007A3818">
        <w:rPr>
          <w:rFonts w:ascii="Times New Roman" w:hAnsi="Times New Roman" w:cs="Times New Roman"/>
          <w:sz w:val="24"/>
          <w:szCs w:val="24"/>
        </w:rPr>
        <w:t>that the EAPs that were reviewed produced positive outcomes including both saving organizations money as well as in producing positive change</w:t>
      </w:r>
      <w:r>
        <w:rPr>
          <w:rFonts w:ascii="Times New Roman" w:hAnsi="Times New Roman" w:cs="Times New Roman"/>
          <w:sz w:val="24"/>
          <w:szCs w:val="24"/>
        </w:rPr>
        <w:t>s</w:t>
      </w:r>
      <w:r w:rsidRPr="007A3818">
        <w:rPr>
          <w:rFonts w:ascii="Times New Roman" w:hAnsi="Times New Roman" w:cs="Times New Roman"/>
          <w:sz w:val="24"/>
          <w:szCs w:val="24"/>
        </w:rPr>
        <w:t xml:space="preserve">.  </w:t>
      </w:r>
      <w:r>
        <w:rPr>
          <w:rFonts w:ascii="Times New Roman" w:hAnsi="Times New Roman" w:cs="Times New Roman"/>
          <w:sz w:val="24"/>
          <w:szCs w:val="24"/>
        </w:rPr>
        <w:t xml:space="preserve">What was also witnessed during this time period was a greater use of standardized tests to collect data led by a new instrument developed during the decade, the Workplace Outcome Suite, though several studies still did not use </w:t>
      </w:r>
      <w:r w:rsidRPr="00F60D8C">
        <w:rPr>
          <w:rFonts w:ascii="Times New Roman" w:hAnsi="Times New Roman" w:cs="Times New Roman"/>
          <w:sz w:val="24"/>
          <w:szCs w:val="24"/>
        </w:rPr>
        <w:t xml:space="preserve">any </w:t>
      </w:r>
      <w:r>
        <w:rPr>
          <w:rFonts w:ascii="Times New Roman" w:hAnsi="Times New Roman" w:cs="Times New Roman"/>
          <w:sz w:val="24"/>
          <w:szCs w:val="24"/>
        </w:rPr>
        <w:t xml:space="preserve">type of </w:t>
      </w:r>
      <w:r w:rsidRPr="00F60D8C">
        <w:rPr>
          <w:rFonts w:ascii="Times New Roman" w:hAnsi="Times New Roman" w:cs="Times New Roman"/>
          <w:sz w:val="24"/>
          <w:szCs w:val="24"/>
        </w:rPr>
        <w:t>standardized assessment tool</w:t>
      </w:r>
      <w:r>
        <w:rPr>
          <w:rFonts w:ascii="Times New Roman" w:hAnsi="Times New Roman" w:cs="Times New Roman"/>
          <w:sz w:val="24"/>
          <w:szCs w:val="24"/>
        </w:rPr>
        <w:t xml:space="preserve"> in their evaluation process. The article concludes by comparing changes that have occurred with reported peer-reviewed EAP evaluation over the past 40 years</w:t>
      </w:r>
    </w:p>
    <w:p w14:paraId="797BB081" w14:textId="32EE78ED" w:rsidR="0097231E" w:rsidRPr="00D41809" w:rsidRDefault="00B00851" w:rsidP="00F35BF6">
      <w:pPr>
        <w:jc w:val="center"/>
        <w:rPr>
          <w:rFonts w:ascii="Times New Roman" w:hAnsi="Times New Roman" w:cs="Times New Roman"/>
          <w:b/>
          <w:bCs/>
          <w:sz w:val="24"/>
          <w:szCs w:val="24"/>
        </w:rPr>
      </w:pPr>
      <w:r w:rsidRPr="00D41809">
        <w:rPr>
          <w:rFonts w:ascii="Times New Roman" w:hAnsi="Times New Roman" w:cs="Times New Roman"/>
          <w:b/>
          <w:bCs/>
          <w:sz w:val="24"/>
          <w:szCs w:val="24"/>
        </w:rPr>
        <w:lastRenderedPageBreak/>
        <w:t>Introduction</w:t>
      </w:r>
    </w:p>
    <w:p w14:paraId="192F42E5" w14:textId="26E01C2F" w:rsidR="007B1472" w:rsidRDefault="007B1472" w:rsidP="007B1472">
      <w:pPr>
        <w:spacing w:line="480" w:lineRule="auto"/>
        <w:ind w:firstLine="720"/>
        <w:rPr>
          <w:rFonts w:ascii="Times New Roman" w:hAnsi="Times New Roman" w:cs="Times New Roman"/>
          <w:sz w:val="24"/>
          <w:szCs w:val="24"/>
        </w:rPr>
      </w:pPr>
      <w:r w:rsidRPr="00B10902">
        <w:rPr>
          <w:rFonts w:ascii="Times New Roman" w:hAnsi="Times New Roman" w:cs="Times New Roman"/>
          <w:sz w:val="24"/>
          <w:szCs w:val="24"/>
        </w:rPr>
        <w:t xml:space="preserve">In the </w:t>
      </w:r>
      <w:r w:rsidR="009F3BE4">
        <w:rPr>
          <w:rFonts w:ascii="Times New Roman" w:hAnsi="Times New Roman" w:cs="Times New Roman"/>
          <w:sz w:val="24"/>
          <w:szCs w:val="24"/>
        </w:rPr>
        <w:t xml:space="preserve">beginning </w:t>
      </w:r>
      <w:r w:rsidRPr="00B10902">
        <w:rPr>
          <w:rFonts w:ascii="Times New Roman" w:hAnsi="Times New Roman" w:cs="Times New Roman"/>
          <w:sz w:val="24"/>
          <w:szCs w:val="24"/>
        </w:rPr>
        <w:t xml:space="preserve">days of </w:t>
      </w:r>
      <w:r w:rsidR="009F3BE4">
        <w:rPr>
          <w:rFonts w:ascii="Times New Roman" w:hAnsi="Times New Roman" w:cs="Times New Roman"/>
          <w:sz w:val="24"/>
          <w:szCs w:val="24"/>
        </w:rPr>
        <w:t xml:space="preserve">earnest </w:t>
      </w:r>
      <w:r w:rsidRPr="00B10902">
        <w:rPr>
          <w:rFonts w:ascii="Times New Roman" w:hAnsi="Times New Roman" w:cs="Times New Roman"/>
          <w:sz w:val="24"/>
          <w:szCs w:val="24"/>
        </w:rPr>
        <w:t>E</w:t>
      </w:r>
      <w:r w:rsidR="009F3BE4">
        <w:rPr>
          <w:rFonts w:ascii="Times New Roman" w:hAnsi="Times New Roman" w:cs="Times New Roman"/>
          <w:sz w:val="24"/>
          <w:szCs w:val="24"/>
        </w:rPr>
        <w:t xml:space="preserve">mployee </w:t>
      </w:r>
      <w:r w:rsidRPr="00B10902">
        <w:rPr>
          <w:rFonts w:ascii="Times New Roman" w:hAnsi="Times New Roman" w:cs="Times New Roman"/>
          <w:sz w:val="24"/>
          <w:szCs w:val="24"/>
        </w:rPr>
        <w:t>A</w:t>
      </w:r>
      <w:r w:rsidR="009F3BE4">
        <w:rPr>
          <w:rFonts w:ascii="Times New Roman" w:hAnsi="Times New Roman" w:cs="Times New Roman"/>
          <w:sz w:val="24"/>
          <w:szCs w:val="24"/>
        </w:rPr>
        <w:t xml:space="preserve">ssistance </w:t>
      </w:r>
      <w:r w:rsidRPr="00B10902">
        <w:rPr>
          <w:rFonts w:ascii="Times New Roman" w:hAnsi="Times New Roman" w:cs="Times New Roman"/>
          <w:sz w:val="24"/>
          <w:szCs w:val="24"/>
        </w:rPr>
        <w:t>P</w:t>
      </w:r>
      <w:r w:rsidR="009F3BE4">
        <w:rPr>
          <w:rFonts w:ascii="Times New Roman" w:hAnsi="Times New Roman" w:cs="Times New Roman"/>
          <w:sz w:val="24"/>
          <w:szCs w:val="24"/>
        </w:rPr>
        <w:t>rogramming</w:t>
      </w:r>
      <w:r w:rsidRPr="00B10902">
        <w:rPr>
          <w:rFonts w:ascii="Times New Roman" w:hAnsi="Times New Roman" w:cs="Times New Roman"/>
          <w:sz w:val="24"/>
          <w:szCs w:val="24"/>
        </w:rPr>
        <w:t xml:space="preserve"> evaluation, the 1980s, there w</w:t>
      </w:r>
      <w:r>
        <w:rPr>
          <w:rFonts w:ascii="Times New Roman" w:hAnsi="Times New Roman" w:cs="Times New Roman"/>
          <w:sz w:val="24"/>
          <w:szCs w:val="24"/>
        </w:rPr>
        <w:t xml:space="preserve">ere many active dialogues in the field as it </w:t>
      </w:r>
      <w:r w:rsidR="00F7177D">
        <w:rPr>
          <w:rFonts w:ascii="Times New Roman" w:hAnsi="Times New Roman" w:cs="Times New Roman"/>
          <w:sz w:val="24"/>
          <w:szCs w:val="24"/>
        </w:rPr>
        <w:t xml:space="preserve">grew and expanded </w:t>
      </w:r>
      <w:r w:rsidR="0017619E" w:rsidRPr="0017619E">
        <w:rPr>
          <w:rFonts w:ascii="Times New Roman" w:hAnsi="Times New Roman" w:cs="Times New Roman"/>
          <w:sz w:val="24"/>
          <w:szCs w:val="24"/>
        </w:rPr>
        <w:t>(Battle, 1988; Durkin, 1985;</w:t>
      </w:r>
      <w:r w:rsidR="0017619E" w:rsidRPr="0017619E">
        <w:rPr>
          <w:rFonts w:ascii="Times New Roman" w:eastAsia="Verdana" w:hAnsi="Times New Roman" w:cs="Times New Roman"/>
          <w:sz w:val="24"/>
          <w:szCs w:val="24"/>
        </w:rPr>
        <w:t xml:space="preserve"> Jerrell &amp; Rightmyer, 1982</w:t>
      </w:r>
      <w:r w:rsidR="0017619E">
        <w:rPr>
          <w:rFonts w:ascii="Times New Roman" w:eastAsia="Verdana" w:hAnsi="Times New Roman" w:cs="Times New Roman"/>
          <w:sz w:val="24"/>
          <w:szCs w:val="24"/>
        </w:rPr>
        <w:t xml:space="preserve">; </w:t>
      </w:r>
      <w:r w:rsidR="0017619E" w:rsidRPr="0017619E">
        <w:rPr>
          <w:rFonts w:ascii="Times New Roman" w:eastAsia="Verdana" w:hAnsi="Times New Roman" w:cs="Times New Roman"/>
          <w:sz w:val="24"/>
          <w:szCs w:val="24"/>
        </w:rPr>
        <w:t>Kurtz</w:t>
      </w:r>
      <w:r w:rsidR="0017619E">
        <w:rPr>
          <w:rFonts w:ascii="Times New Roman" w:eastAsia="Verdana" w:hAnsi="Times New Roman" w:cs="Times New Roman"/>
          <w:sz w:val="24"/>
          <w:szCs w:val="24"/>
        </w:rPr>
        <w:t xml:space="preserve"> et al., </w:t>
      </w:r>
      <w:r w:rsidR="0017619E" w:rsidRPr="0017619E">
        <w:rPr>
          <w:rFonts w:ascii="Times New Roman" w:eastAsia="Verdana" w:hAnsi="Times New Roman" w:cs="Times New Roman"/>
          <w:sz w:val="24"/>
          <w:szCs w:val="24"/>
        </w:rPr>
        <w:t>1984</w:t>
      </w:r>
      <w:r w:rsidR="0017619E">
        <w:rPr>
          <w:rFonts w:ascii="Times New Roman" w:eastAsia="Verdana" w:hAnsi="Times New Roman" w:cs="Times New Roman"/>
          <w:sz w:val="24"/>
          <w:szCs w:val="24"/>
        </w:rPr>
        <w:t xml:space="preserve">; </w:t>
      </w:r>
      <w:r w:rsidR="0017619E" w:rsidRPr="0017619E">
        <w:rPr>
          <w:rFonts w:ascii="Times New Roman" w:eastAsia="Verdana" w:hAnsi="Times New Roman" w:cs="Times New Roman"/>
          <w:sz w:val="24"/>
          <w:szCs w:val="24"/>
        </w:rPr>
        <w:t>Lynch, 1980</w:t>
      </w:r>
      <w:r w:rsidR="0017619E">
        <w:rPr>
          <w:rFonts w:ascii="Times New Roman" w:eastAsia="Verdana" w:hAnsi="Times New Roman" w:cs="Times New Roman"/>
          <w:sz w:val="24"/>
          <w:szCs w:val="24"/>
        </w:rPr>
        <w:t xml:space="preserve">; </w:t>
      </w:r>
      <w:r w:rsidR="0017619E" w:rsidRPr="0017619E">
        <w:rPr>
          <w:rFonts w:ascii="Times New Roman" w:eastAsia="Verdana" w:hAnsi="Times New Roman" w:cs="Times New Roman"/>
          <w:sz w:val="24"/>
          <w:szCs w:val="24"/>
        </w:rPr>
        <w:t xml:space="preserve">Masi, &amp; Goff, 1987). </w:t>
      </w:r>
      <w:r>
        <w:rPr>
          <w:rFonts w:ascii="Times New Roman" w:hAnsi="Times New Roman" w:cs="Times New Roman"/>
          <w:sz w:val="24"/>
          <w:szCs w:val="24"/>
        </w:rPr>
        <w:t>What type of programming is the best</w:t>
      </w:r>
      <w:r w:rsidR="006663CF">
        <w:rPr>
          <w:rFonts w:ascii="Times New Roman" w:hAnsi="Times New Roman" w:cs="Times New Roman"/>
          <w:sz w:val="24"/>
          <w:szCs w:val="24"/>
        </w:rPr>
        <w:t>:</w:t>
      </w:r>
      <w:r>
        <w:rPr>
          <w:rFonts w:ascii="Times New Roman" w:hAnsi="Times New Roman" w:cs="Times New Roman"/>
          <w:sz w:val="24"/>
          <w:szCs w:val="24"/>
        </w:rPr>
        <w:t xml:space="preserve"> internal, external, hybrid? </w:t>
      </w:r>
      <w:r w:rsidR="00F03467">
        <w:rPr>
          <w:rFonts w:ascii="Times New Roman" w:hAnsi="Times New Roman" w:cs="Times New Roman"/>
          <w:sz w:val="24"/>
          <w:szCs w:val="24"/>
        </w:rPr>
        <w:t>Who should sponsor the program</w:t>
      </w:r>
      <w:r w:rsidR="006663CF">
        <w:rPr>
          <w:rFonts w:ascii="Times New Roman" w:hAnsi="Times New Roman" w:cs="Times New Roman"/>
          <w:sz w:val="24"/>
          <w:szCs w:val="24"/>
        </w:rPr>
        <w:t>:</w:t>
      </w:r>
      <w:r w:rsidR="00F03467">
        <w:rPr>
          <w:rFonts w:ascii="Times New Roman" w:hAnsi="Times New Roman" w:cs="Times New Roman"/>
          <w:sz w:val="24"/>
          <w:szCs w:val="24"/>
        </w:rPr>
        <w:t xml:space="preserve"> </w:t>
      </w:r>
      <w:r w:rsidR="000F3988">
        <w:rPr>
          <w:rFonts w:ascii="Times New Roman" w:hAnsi="Times New Roman" w:cs="Times New Roman"/>
          <w:sz w:val="24"/>
          <w:szCs w:val="24"/>
        </w:rPr>
        <w:t xml:space="preserve">occupational health services, </w:t>
      </w:r>
      <w:r w:rsidR="00F03467">
        <w:rPr>
          <w:rFonts w:ascii="Times New Roman" w:hAnsi="Times New Roman" w:cs="Times New Roman"/>
          <w:sz w:val="24"/>
          <w:szCs w:val="24"/>
        </w:rPr>
        <w:t xml:space="preserve">management, labor, joint committees? </w:t>
      </w:r>
      <w:r>
        <w:rPr>
          <w:rFonts w:ascii="Times New Roman" w:hAnsi="Times New Roman" w:cs="Times New Roman"/>
          <w:sz w:val="24"/>
          <w:szCs w:val="24"/>
        </w:rPr>
        <w:t xml:space="preserve">What type of outcome measures should be considered in evaluating programs? Do we even need to bother evaluating EAPs as we </w:t>
      </w:r>
      <w:r w:rsidRPr="001A026D">
        <w:rPr>
          <w:rFonts w:ascii="Times New Roman" w:hAnsi="Times New Roman" w:cs="Times New Roman"/>
          <w:iCs/>
          <w:sz w:val="24"/>
          <w:szCs w:val="24"/>
        </w:rPr>
        <w:t>know</w:t>
      </w:r>
      <w:r>
        <w:rPr>
          <w:rFonts w:ascii="Times New Roman" w:hAnsi="Times New Roman" w:cs="Times New Roman"/>
          <w:sz w:val="24"/>
          <w:szCs w:val="24"/>
        </w:rPr>
        <w:t xml:space="preserve"> they are important and they work, so let’s just </w:t>
      </w:r>
      <w:r w:rsidR="0024682A">
        <w:rPr>
          <w:rFonts w:ascii="Times New Roman" w:hAnsi="Times New Roman" w:cs="Times New Roman"/>
          <w:sz w:val="24"/>
          <w:szCs w:val="24"/>
        </w:rPr>
        <w:t>practice?</w:t>
      </w:r>
      <w:r>
        <w:rPr>
          <w:rFonts w:ascii="Times New Roman" w:hAnsi="Times New Roman" w:cs="Times New Roman"/>
          <w:sz w:val="24"/>
          <w:szCs w:val="24"/>
        </w:rPr>
        <w:t xml:space="preserve"> </w:t>
      </w:r>
      <w:r w:rsidR="00530AA2">
        <w:rPr>
          <w:rFonts w:ascii="Times New Roman" w:hAnsi="Times New Roman" w:cs="Times New Roman"/>
          <w:sz w:val="24"/>
          <w:szCs w:val="24"/>
        </w:rPr>
        <w:t xml:space="preserve">Fortunately, </w:t>
      </w:r>
      <w:r>
        <w:rPr>
          <w:rFonts w:ascii="Times New Roman" w:hAnsi="Times New Roman" w:cs="Times New Roman"/>
          <w:sz w:val="24"/>
          <w:szCs w:val="24"/>
        </w:rPr>
        <w:t>evaluators did not go away</w:t>
      </w:r>
      <w:r w:rsidR="00F7177D">
        <w:rPr>
          <w:rFonts w:ascii="Times New Roman" w:hAnsi="Times New Roman" w:cs="Times New Roman"/>
          <w:sz w:val="24"/>
          <w:szCs w:val="24"/>
        </w:rPr>
        <w:t xml:space="preserve">, and had the foresight </w:t>
      </w:r>
      <w:r>
        <w:rPr>
          <w:rFonts w:ascii="Times New Roman" w:hAnsi="Times New Roman" w:cs="Times New Roman"/>
          <w:sz w:val="24"/>
          <w:szCs w:val="24"/>
        </w:rPr>
        <w:t>to realize that knowledge always has a place in practice</w:t>
      </w:r>
      <w:r w:rsidR="00530AA2">
        <w:rPr>
          <w:rFonts w:ascii="Times New Roman" w:hAnsi="Times New Roman" w:cs="Times New Roman"/>
          <w:sz w:val="24"/>
          <w:szCs w:val="24"/>
        </w:rPr>
        <w:t>:</w:t>
      </w:r>
      <w:r w:rsidR="00372818">
        <w:rPr>
          <w:rFonts w:ascii="Times New Roman" w:hAnsi="Times New Roman" w:cs="Times New Roman"/>
          <w:sz w:val="24"/>
          <w:szCs w:val="24"/>
        </w:rPr>
        <w:t xml:space="preserve"> to </w:t>
      </w:r>
      <w:r w:rsidR="00CB08BE">
        <w:rPr>
          <w:rFonts w:ascii="Times New Roman" w:hAnsi="Times New Roman" w:cs="Times New Roman"/>
          <w:sz w:val="24"/>
          <w:szCs w:val="24"/>
        </w:rPr>
        <w:t>document</w:t>
      </w:r>
      <w:r w:rsidR="00372818">
        <w:rPr>
          <w:rFonts w:ascii="Times New Roman" w:hAnsi="Times New Roman" w:cs="Times New Roman"/>
          <w:sz w:val="24"/>
          <w:szCs w:val="24"/>
        </w:rPr>
        <w:t xml:space="preserve">, </w:t>
      </w:r>
      <w:r w:rsidR="009F3BE4">
        <w:rPr>
          <w:rFonts w:ascii="Times New Roman" w:hAnsi="Times New Roman" w:cs="Times New Roman"/>
          <w:sz w:val="24"/>
          <w:szCs w:val="24"/>
        </w:rPr>
        <w:t>to critique</w:t>
      </w:r>
      <w:r w:rsidR="00CB08BE">
        <w:rPr>
          <w:rFonts w:ascii="Times New Roman" w:hAnsi="Times New Roman" w:cs="Times New Roman"/>
          <w:sz w:val="24"/>
          <w:szCs w:val="24"/>
        </w:rPr>
        <w:t xml:space="preserve">, </w:t>
      </w:r>
      <w:r w:rsidR="009F3BE4">
        <w:rPr>
          <w:rFonts w:ascii="Times New Roman" w:hAnsi="Times New Roman" w:cs="Times New Roman"/>
          <w:sz w:val="24"/>
          <w:szCs w:val="24"/>
        </w:rPr>
        <w:t xml:space="preserve">to </w:t>
      </w:r>
      <w:r w:rsidR="00372818">
        <w:rPr>
          <w:rFonts w:ascii="Times New Roman" w:hAnsi="Times New Roman" w:cs="Times New Roman"/>
          <w:sz w:val="24"/>
          <w:szCs w:val="24"/>
        </w:rPr>
        <w:t>c</w:t>
      </w:r>
      <w:r w:rsidR="009F3BE4">
        <w:rPr>
          <w:rFonts w:ascii="Times New Roman" w:hAnsi="Times New Roman" w:cs="Times New Roman"/>
          <w:sz w:val="24"/>
          <w:szCs w:val="24"/>
        </w:rPr>
        <w:t>ommend</w:t>
      </w:r>
      <w:r w:rsidR="00CB08BE">
        <w:rPr>
          <w:rFonts w:ascii="Times New Roman" w:hAnsi="Times New Roman" w:cs="Times New Roman"/>
          <w:sz w:val="24"/>
          <w:szCs w:val="24"/>
        </w:rPr>
        <w:t xml:space="preserve">, and most importantly </w:t>
      </w:r>
      <w:r w:rsidR="009F3BE4">
        <w:rPr>
          <w:rFonts w:ascii="Times New Roman" w:hAnsi="Times New Roman" w:cs="Times New Roman"/>
          <w:sz w:val="24"/>
          <w:szCs w:val="24"/>
        </w:rPr>
        <w:t xml:space="preserve">to </w:t>
      </w:r>
      <w:r w:rsidR="00CB08BE">
        <w:rPr>
          <w:rFonts w:ascii="Times New Roman" w:hAnsi="Times New Roman" w:cs="Times New Roman"/>
          <w:sz w:val="24"/>
          <w:szCs w:val="24"/>
        </w:rPr>
        <w:t>improve</w:t>
      </w:r>
      <w:r>
        <w:rPr>
          <w:rFonts w:ascii="Times New Roman" w:hAnsi="Times New Roman" w:cs="Times New Roman"/>
          <w:sz w:val="24"/>
          <w:szCs w:val="24"/>
        </w:rPr>
        <w:t>. This was even before the major push for evidence-informed practice and before the corporatization of EAP by large conglomerates.</w:t>
      </w:r>
    </w:p>
    <w:p w14:paraId="452612BF" w14:textId="5D1176F2" w:rsidR="007B1472" w:rsidRDefault="007B1472" w:rsidP="007B14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past decades </w:t>
      </w:r>
      <w:r w:rsidR="00372818">
        <w:rPr>
          <w:rFonts w:ascii="Times New Roman" w:hAnsi="Times New Roman" w:cs="Times New Roman"/>
          <w:sz w:val="24"/>
          <w:szCs w:val="24"/>
        </w:rPr>
        <w:t xml:space="preserve">there has been a regular </w:t>
      </w:r>
      <w:r w:rsidR="00F7177D">
        <w:rPr>
          <w:rFonts w:ascii="Times New Roman" w:hAnsi="Times New Roman" w:cs="Times New Roman"/>
          <w:sz w:val="24"/>
          <w:szCs w:val="24"/>
        </w:rPr>
        <w:t xml:space="preserve">examination </w:t>
      </w:r>
      <w:r w:rsidR="00372818">
        <w:rPr>
          <w:rFonts w:ascii="Times New Roman" w:hAnsi="Times New Roman" w:cs="Times New Roman"/>
          <w:sz w:val="24"/>
          <w:szCs w:val="24"/>
        </w:rPr>
        <w:t xml:space="preserve">of </w:t>
      </w:r>
      <w:r>
        <w:rPr>
          <w:rFonts w:ascii="Times New Roman" w:hAnsi="Times New Roman" w:cs="Times New Roman"/>
          <w:sz w:val="24"/>
          <w:szCs w:val="24"/>
        </w:rPr>
        <w:t>peer-reviewed EAP evaluations (Csiernik,</w:t>
      </w:r>
      <w:r w:rsidR="0024682A">
        <w:rPr>
          <w:rFonts w:ascii="Times New Roman" w:hAnsi="Times New Roman" w:cs="Times New Roman"/>
          <w:sz w:val="24"/>
          <w:szCs w:val="24"/>
        </w:rPr>
        <w:t xml:space="preserve"> </w:t>
      </w:r>
      <w:r>
        <w:rPr>
          <w:rFonts w:ascii="Times New Roman" w:hAnsi="Times New Roman" w:cs="Times New Roman"/>
          <w:sz w:val="24"/>
          <w:szCs w:val="24"/>
        </w:rPr>
        <w:t xml:space="preserve">1995; 2005; 2011).  </w:t>
      </w:r>
      <w:r w:rsidR="001A026D">
        <w:rPr>
          <w:rFonts w:ascii="Times New Roman" w:hAnsi="Times New Roman" w:cs="Times New Roman"/>
          <w:sz w:val="24"/>
          <w:szCs w:val="24"/>
        </w:rPr>
        <w:t>Table 1 summarizes the</w:t>
      </w:r>
      <w:r w:rsidR="00530AA2">
        <w:rPr>
          <w:rFonts w:ascii="Times New Roman" w:hAnsi="Times New Roman" w:cs="Times New Roman"/>
          <w:sz w:val="24"/>
          <w:szCs w:val="24"/>
        </w:rPr>
        <w:t xml:space="preserve"> frequencies of the various forms of </w:t>
      </w:r>
      <w:r w:rsidR="00745DC4">
        <w:rPr>
          <w:rFonts w:ascii="Times New Roman" w:hAnsi="Times New Roman" w:cs="Times New Roman"/>
          <w:sz w:val="24"/>
          <w:szCs w:val="24"/>
        </w:rPr>
        <w:t xml:space="preserve">peer-reviewed </w:t>
      </w:r>
      <w:r w:rsidR="00530AA2">
        <w:rPr>
          <w:rFonts w:ascii="Times New Roman" w:hAnsi="Times New Roman" w:cs="Times New Roman"/>
          <w:sz w:val="24"/>
          <w:szCs w:val="24"/>
        </w:rPr>
        <w:t>evaluations reported in th</w:t>
      </w:r>
      <w:r w:rsidR="00745DC4">
        <w:rPr>
          <w:rFonts w:ascii="Times New Roman" w:hAnsi="Times New Roman" w:cs="Times New Roman"/>
          <w:sz w:val="24"/>
          <w:szCs w:val="24"/>
        </w:rPr>
        <w:t>o</w:t>
      </w:r>
      <w:r w:rsidR="00530AA2">
        <w:rPr>
          <w:rFonts w:ascii="Times New Roman" w:hAnsi="Times New Roman" w:cs="Times New Roman"/>
          <w:sz w:val="24"/>
          <w:szCs w:val="24"/>
        </w:rPr>
        <w:t xml:space="preserve">se articles, </w:t>
      </w:r>
      <w:r w:rsidR="001A026D">
        <w:rPr>
          <w:rFonts w:ascii="Times New Roman" w:hAnsi="Times New Roman" w:cs="Times New Roman"/>
          <w:sz w:val="24"/>
          <w:szCs w:val="24"/>
        </w:rPr>
        <w:t>indicat</w:t>
      </w:r>
      <w:r w:rsidR="00530AA2">
        <w:rPr>
          <w:rFonts w:ascii="Times New Roman" w:hAnsi="Times New Roman" w:cs="Times New Roman"/>
          <w:sz w:val="24"/>
          <w:szCs w:val="24"/>
        </w:rPr>
        <w:t>ing</w:t>
      </w:r>
      <w:r w:rsidR="001A026D">
        <w:rPr>
          <w:rFonts w:ascii="Times New Roman" w:hAnsi="Times New Roman" w:cs="Times New Roman"/>
          <w:sz w:val="24"/>
          <w:szCs w:val="24"/>
        </w:rPr>
        <w:t xml:space="preserve"> a</w:t>
      </w:r>
      <w:r w:rsidR="00CB08BE">
        <w:rPr>
          <w:rFonts w:ascii="Times New Roman" w:hAnsi="Times New Roman" w:cs="Times New Roman"/>
          <w:sz w:val="24"/>
          <w:szCs w:val="24"/>
        </w:rPr>
        <w:t xml:space="preserve">n </w:t>
      </w:r>
      <w:r w:rsidR="00530AA2">
        <w:rPr>
          <w:rFonts w:ascii="Times New Roman" w:hAnsi="Times New Roman" w:cs="Times New Roman"/>
          <w:sz w:val="24"/>
          <w:szCs w:val="24"/>
        </w:rPr>
        <w:t xml:space="preserve">overall </w:t>
      </w:r>
      <w:r w:rsidR="00CB08BE">
        <w:rPr>
          <w:rFonts w:ascii="Times New Roman" w:hAnsi="Times New Roman" w:cs="Times New Roman"/>
          <w:sz w:val="24"/>
          <w:szCs w:val="24"/>
        </w:rPr>
        <w:t xml:space="preserve">increase </w:t>
      </w:r>
      <w:r w:rsidR="001A026D">
        <w:rPr>
          <w:rFonts w:ascii="Times New Roman" w:hAnsi="Times New Roman" w:cs="Times New Roman"/>
          <w:sz w:val="24"/>
          <w:szCs w:val="24"/>
        </w:rPr>
        <w:t xml:space="preserve">in </w:t>
      </w:r>
      <w:r w:rsidR="00530AA2">
        <w:rPr>
          <w:rFonts w:ascii="Times New Roman" w:hAnsi="Times New Roman" w:cs="Times New Roman"/>
          <w:sz w:val="24"/>
          <w:szCs w:val="24"/>
        </w:rPr>
        <w:t xml:space="preserve">published </w:t>
      </w:r>
      <w:r w:rsidR="001A026D">
        <w:rPr>
          <w:rFonts w:ascii="Times New Roman" w:hAnsi="Times New Roman" w:cs="Times New Roman"/>
          <w:sz w:val="24"/>
          <w:szCs w:val="24"/>
        </w:rPr>
        <w:t xml:space="preserve">studies </w:t>
      </w:r>
      <w:r w:rsidR="00CB08BE">
        <w:rPr>
          <w:rFonts w:ascii="Times New Roman" w:hAnsi="Times New Roman" w:cs="Times New Roman"/>
          <w:sz w:val="24"/>
          <w:szCs w:val="24"/>
        </w:rPr>
        <w:t>from the 1980s to the 2000s, though not across all forms of evaluation</w:t>
      </w:r>
      <w:r w:rsidR="001A026D">
        <w:rPr>
          <w:rFonts w:ascii="Times New Roman" w:hAnsi="Times New Roman" w:cs="Times New Roman"/>
          <w:sz w:val="24"/>
          <w:szCs w:val="24"/>
        </w:rPr>
        <w:t xml:space="preserve">. This </w:t>
      </w:r>
      <w:r w:rsidR="00530AA2">
        <w:rPr>
          <w:rFonts w:ascii="Times New Roman" w:hAnsi="Times New Roman" w:cs="Times New Roman"/>
          <w:sz w:val="24"/>
          <w:szCs w:val="24"/>
        </w:rPr>
        <w:t xml:space="preserve">current </w:t>
      </w:r>
      <w:r w:rsidR="001A026D">
        <w:rPr>
          <w:rFonts w:ascii="Times New Roman" w:hAnsi="Times New Roman" w:cs="Times New Roman"/>
          <w:sz w:val="24"/>
          <w:szCs w:val="24"/>
        </w:rPr>
        <w:t xml:space="preserve">article </w:t>
      </w:r>
      <w:r w:rsidR="00530AA2">
        <w:rPr>
          <w:rFonts w:ascii="Times New Roman" w:hAnsi="Times New Roman" w:cs="Times New Roman"/>
          <w:sz w:val="24"/>
          <w:szCs w:val="24"/>
        </w:rPr>
        <w:t xml:space="preserve">adds to the existing literature, </w:t>
      </w:r>
      <w:r w:rsidR="00745DC4">
        <w:rPr>
          <w:rFonts w:ascii="Times New Roman" w:hAnsi="Times New Roman" w:cs="Times New Roman"/>
          <w:sz w:val="24"/>
          <w:szCs w:val="24"/>
        </w:rPr>
        <w:t xml:space="preserve">examining </w:t>
      </w:r>
      <w:r w:rsidR="001A026D">
        <w:rPr>
          <w:rFonts w:ascii="Times New Roman" w:hAnsi="Times New Roman" w:cs="Times New Roman"/>
          <w:sz w:val="24"/>
          <w:szCs w:val="24"/>
        </w:rPr>
        <w:t>the last decade of published peer</w:t>
      </w:r>
      <w:r w:rsidR="00530AA2">
        <w:rPr>
          <w:rFonts w:ascii="Times New Roman" w:hAnsi="Times New Roman" w:cs="Times New Roman"/>
          <w:sz w:val="24"/>
          <w:szCs w:val="24"/>
        </w:rPr>
        <w:t>-</w:t>
      </w:r>
      <w:r w:rsidR="001A026D">
        <w:rPr>
          <w:rFonts w:ascii="Times New Roman" w:hAnsi="Times New Roman" w:cs="Times New Roman"/>
          <w:sz w:val="24"/>
          <w:szCs w:val="24"/>
        </w:rPr>
        <w:t xml:space="preserve"> reviewed evaluations</w:t>
      </w:r>
      <w:r w:rsidR="00CB08BE">
        <w:rPr>
          <w:rFonts w:ascii="Times New Roman" w:hAnsi="Times New Roman" w:cs="Times New Roman"/>
          <w:sz w:val="24"/>
          <w:szCs w:val="24"/>
        </w:rPr>
        <w:t>, 2010-2019</w:t>
      </w:r>
      <w:r w:rsidR="00343429">
        <w:rPr>
          <w:rFonts w:ascii="Times New Roman" w:hAnsi="Times New Roman" w:cs="Times New Roman"/>
          <w:sz w:val="24"/>
          <w:szCs w:val="24"/>
        </w:rPr>
        <w:t xml:space="preserve">, to continue to build on our knowledge </w:t>
      </w:r>
      <w:r w:rsidR="00530AA2">
        <w:rPr>
          <w:rFonts w:ascii="Times New Roman" w:hAnsi="Times New Roman" w:cs="Times New Roman"/>
          <w:sz w:val="24"/>
          <w:szCs w:val="24"/>
        </w:rPr>
        <w:t xml:space="preserve">regarding </w:t>
      </w:r>
      <w:r w:rsidR="00343429">
        <w:rPr>
          <w:rFonts w:ascii="Times New Roman" w:hAnsi="Times New Roman" w:cs="Times New Roman"/>
          <w:sz w:val="24"/>
          <w:szCs w:val="24"/>
        </w:rPr>
        <w:t>this aspect of EAP</w:t>
      </w:r>
      <w:r w:rsidR="001A026D">
        <w:rPr>
          <w:rFonts w:ascii="Times New Roman" w:hAnsi="Times New Roman" w:cs="Times New Roman"/>
          <w:sz w:val="24"/>
          <w:szCs w:val="24"/>
        </w:rPr>
        <w:t xml:space="preserve">.  </w:t>
      </w:r>
    </w:p>
    <w:p w14:paraId="60AA1522" w14:textId="77777777" w:rsidR="001A026D" w:rsidRPr="00343429" w:rsidRDefault="001A026D" w:rsidP="001A026D">
      <w:pPr>
        <w:spacing w:line="240" w:lineRule="auto"/>
        <w:rPr>
          <w:rFonts w:ascii="Times New Roman" w:hAnsi="Times New Roman" w:cs="Times New Roman"/>
          <w:iCs/>
          <w:sz w:val="24"/>
          <w:szCs w:val="24"/>
        </w:rPr>
      </w:pPr>
      <w:r>
        <w:rPr>
          <w:rFonts w:ascii="Times New Roman" w:hAnsi="Times New Roman" w:cs="Times New Roman"/>
          <w:sz w:val="24"/>
          <w:szCs w:val="24"/>
        </w:rPr>
        <w:t>Table 1</w:t>
      </w:r>
      <w:r w:rsidR="00343429">
        <w:rPr>
          <w:rFonts w:ascii="Times New Roman" w:hAnsi="Times New Roman" w:cs="Times New Roman"/>
          <w:sz w:val="24"/>
          <w:szCs w:val="24"/>
        </w:rPr>
        <w:t xml:space="preserve">: </w:t>
      </w:r>
      <w:r w:rsidR="000E6181">
        <w:rPr>
          <w:rFonts w:ascii="Times New Roman" w:hAnsi="Times New Roman" w:cs="Times New Roman"/>
          <w:sz w:val="24"/>
          <w:szCs w:val="24"/>
        </w:rPr>
        <w:t xml:space="preserve">Types of Evaluation </w:t>
      </w:r>
      <w:r w:rsidRPr="00343429">
        <w:rPr>
          <w:rFonts w:ascii="Times New Roman" w:hAnsi="Times New Roman" w:cs="Times New Roman"/>
          <w:iCs/>
          <w:sz w:val="24"/>
          <w:szCs w:val="24"/>
        </w:rPr>
        <w:t>by Decade</w:t>
      </w:r>
      <w:r w:rsidR="000E6181">
        <w:rPr>
          <w:rFonts w:ascii="Times New Roman" w:hAnsi="Times New Roman" w:cs="Times New Roman"/>
          <w:iCs/>
          <w:sz w:val="24"/>
          <w:szCs w:val="24"/>
        </w:rPr>
        <w:t>:  1980-1989 to 2000-2009</w:t>
      </w:r>
    </w:p>
    <w:tbl>
      <w:tblPr>
        <w:tblW w:w="5540" w:type="dxa"/>
        <w:tblLook w:val="04A0" w:firstRow="1" w:lastRow="0" w:firstColumn="1" w:lastColumn="0" w:noHBand="0" w:noVBand="1"/>
      </w:tblPr>
      <w:tblGrid>
        <w:gridCol w:w="2180"/>
        <w:gridCol w:w="1120"/>
        <w:gridCol w:w="1120"/>
        <w:gridCol w:w="1120"/>
      </w:tblGrid>
      <w:tr w:rsidR="00343429" w:rsidRPr="00343429" w14:paraId="38040057" w14:textId="77777777" w:rsidTr="00343429">
        <w:trPr>
          <w:trHeight w:val="315"/>
        </w:trPr>
        <w:tc>
          <w:tcPr>
            <w:tcW w:w="2180" w:type="dxa"/>
            <w:tcBorders>
              <w:top w:val="nil"/>
              <w:left w:val="nil"/>
              <w:bottom w:val="single" w:sz="8" w:space="0" w:color="auto"/>
              <w:right w:val="nil"/>
            </w:tcBorders>
            <w:shd w:val="clear" w:color="auto" w:fill="auto"/>
            <w:noWrap/>
            <w:vAlign w:val="center"/>
            <w:hideMark/>
          </w:tcPr>
          <w:p w14:paraId="77F99AD5" w14:textId="77777777" w:rsidR="00343429" w:rsidRPr="00343429" w:rsidRDefault="00343429" w:rsidP="00343429">
            <w:pPr>
              <w:spacing w:after="0" w:line="240" w:lineRule="auto"/>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 </w:t>
            </w:r>
          </w:p>
        </w:tc>
        <w:tc>
          <w:tcPr>
            <w:tcW w:w="1120" w:type="dxa"/>
            <w:tcBorders>
              <w:top w:val="nil"/>
              <w:left w:val="nil"/>
              <w:bottom w:val="single" w:sz="8" w:space="0" w:color="auto"/>
              <w:right w:val="nil"/>
            </w:tcBorders>
            <w:shd w:val="clear" w:color="auto" w:fill="auto"/>
            <w:noWrap/>
            <w:vAlign w:val="center"/>
            <w:hideMark/>
          </w:tcPr>
          <w:p w14:paraId="3DB5C348"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eastAsia="en-CA"/>
              </w:rPr>
              <w:t>1980-1989</w:t>
            </w:r>
          </w:p>
        </w:tc>
        <w:tc>
          <w:tcPr>
            <w:tcW w:w="1120" w:type="dxa"/>
            <w:tcBorders>
              <w:top w:val="nil"/>
              <w:left w:val="nil"/>
              <w:bottom w:val="single" w:sz="8" w:space="0" w:color="auto"/>
              <w:right w:val="nil"/>
            </w:tcBorders>
            <w:shd w:val="clear" w:color="auto" w:fill="auto"/>
            <w:noWrap/>
            <w:vAlign w:val="center"/>
            <w:hideMark/>
          </w:tcPr>
          <w:p w14:paraId="01117C33"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1990-1999</w:t>
            </w:r>
          </w:p>
        </w:tc>
        <w:tc>
          <w:tcPr>
            <w:tcW w:w="1120" w:type="dxa"/>
            <w:tcBorders>
              <w:top w:val="nil"/>
              <w:left w:val="nil"/>
              <w:bottom w:val="single" w:sz="8" w:space="0" w:color="auto"/>
              <w:right w:val="nil"/>
            </w:tcBorders>
            <w:shd w:val="clear" w:color="auto" w:fill="auto"/>
            <w:noWrap/>
            <w:vAlign w:val="center"/>
            <w:hideMark/>
          </w:tcPr>
          <w:p w14:paraId="16D6583E"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2000-2009</w:t>
            </w:r>
          </w:p>
        </w:tc>
      </w:tr>
      <w:tr w:rsidR="00343429" w:rsidRPr="00343429" w14:paraId="1499BF23" w14:textId="77777777" w:rsidTr="00343429">
        <w:trPr>
          <w:trHeight w:val="300"/>
        </w:trPr>
        <w:tc>
          <w:tcPr>
            <w:tcW w:w="2180" w:type="dxa"/>
            <w:tcBorders>
              <w:top w:val="nil"/>
              <w:left w:val="nil"/>
              <w:bottom w:val="nil"/>
              <w:right w:val="nil"/>
            </w:tcBorders>
            <w:shd w:val="clear" w:color="auto" w:fill="auto"/>
            <w:noWrap/>
            <w:vAlign w:val="center"/>
            <w:hideMark/>
          </w:tcPr>
          <w:p w14:paraId="0C8DE954" w14:textId="77777777" w:rsidR="00343429" w:rsidRPr="00343429" w:rsidRDefault="00343429" w:rsidP="00343429">
            <w:pPr>
              <w:spacing w:after="0" w:line="240" w:lineRule="auto"/>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Needs Assessments</w:t>
            </w:r>
          </w:p>
        </w:tc>
        <w:tc>
          <w:tcPr>
            <w:tcW w:w="1120" w:type="dxa"/>
            <w:tcBorders>
              <w:top w:val="nil"/>
              <w:left w:val="nil"/>
              <w:bottom w:val="nil"/>
              <w:right w:val="nil"/>
            </w:tcBorders>
            <w:shd w:val="clear" w:color="auto" w:fill="auto"/>
            <w:noWrap/>
            <w:vAlign w:val="center"/>
            <w:hideMark/>
          </w:tcPr>
          <w:p w14:paraId="3B3D03E6"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eastAsia="en-CA"/>
              </w:rPr>
              <w:t>3</w:t>
            </w:r>
          </w:p>
        </w:tc>
        <w:tc>
          <w:tcPr>
            <w:tcW w:w="1120" w:type="dxa"/>
            <w:tcBorders>
              <w:top w:val="nil"/>
              <w:left w:val="nil"/>
              <w:bottom w:val="nil"/>
              <w:right w:val="nil"/>
            </w:tcBorders>
            <w:shd w:val="clear" w:color="auto" w:fill="auto"/>
            <w:noWrap/>
            <w:vAlign w:val="center"/>
            <w:hideMark/>
          </w:tcPr>
          <w:p w14:paraId="2ECB53DD"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4</w:t>
            </w:r>
          </w:p>
        </w:tc>
        <w:tc>
          <w:tcPr>
            <w:tcW w:w="1120" w:type="dxa"/>
            <w:tcBorders>
              <w:top w:val="nil"/>
              <w:left w:val="nil"/>
              <w:bottom w:val="nil"/>
              <w:right w:val="nil"/>
            </w:tcBorders>
            <w:shd w:val="clear" w:color="auto" w:fill="auto"/>
            <w:noWrap/>
            <w:vAlign w:val="center"/>
            <w:hideMark/>
          </w:tcPr>
          <w:p w14:paraId="495D1FCC"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2</w:t>
            </w:r>
          </w:p>
        </w:tc>
      </w:tr>
      <w:tr w:rsidR="00343429" w:rsidRPr="00343429" w14:paraId="7E8FD3C2" w14:textId="77777777" w:rsidTr="00343429">
        <w:trPr>
          <w:trHeight w:val="300"/>
        </w:trPr>
        <w:tc>
          <w:tcPr>
            <w:tcW w:w="2180" w:type="dxa"/>
            <w:tcBorders>
              <w:top w:val="nil"/>
              <w:left w:val="nil"/>
              <w:bottom w:val="nil"/>
              <w:right w:val="nil"/>
            </w:tcBorders>
            <w:shd w:val="clear" w:color="auto" w:fill="auto"/>
            <w:noWrap/>
            <w:vAlign w:val="center"/>
            <w:hideMark/>
          </w:tcPr>
          <w:p w14:paraId="69465603" w14:textId="77777777" w:rsidR="00343429" w:rsidRPr="00343429" w:rsidRDefault="00343429" w:rsidP="00343429">
            <w:pPr>
              <w:spacing w:after="0" w:line="240" w:lineRule="auto"/>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Case Studies</w:t>
            </w:r>
          </w:p>
        </w:tc>
        <w:tc>
          <w:tcPr>
            <w:tcW w:w="1120" w:type="dxa"/>
            <w:tcBorders>
              <w:top w:val="nil"/>
              <w:left w:val="nil"/>
              <w:bottom w:val="nil"/>
              <w:right w:val="nil"/>
            </w:tcBorders>
            <w:shd w:val="clear" w:color="auto" w:fill="auto"/>
            <w:noWrap/>
            <w:vAlign w:val="center"/>
            <w:hideMark/>
          </w:tcPr>
          <w:p w14:paraId="4A5EA90D"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eastAsia="en-CA"/>
              </w:rPr>
              <w:t>4</w:t>
            </w:r>
          </w:p>
        </w:tc>
        <w:tc>
          <w:tcPr>
            <w:tcW w:w="1120" w:type="dxa"/>
            <w:tcBorders>
              <w:top w:val="nil"/>
              <w:left w:val="nil"/>
              <w:bottom w:val="nil"/>
              <w:right w:val="nil"/>
            </w:tcBorders>
            <w:shd w:val="clear" w:color="auto" w:fill="auto"/>
            <w:noWrap/>
            <w:vAlign w:val="center"/>
            <w:hideMark/>
          </w:tcPr>
          <w:p w14:paraId="2C882A25"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12</w:t>
            </w:r>
          </w:p>
        </w:tc>
        <w:tc>
          <w:tcPr>
            <w:tcW w:w="1120" w:type="dxa"/>
            <w:tcBorders>
              <w:top w:val="nil"/>
              <w:left w:val="nil"/>
              <w:bottom w:val="nil"/>
              <w:right w:val="nil"/>
            </w:tcBorders>
            <w:shd w:val="clear" w:color="auto" w:fill="auto"/>
            <w:noWrap/>
            <w:vAlign w:val="center"/>
            <w:hideMark/>
          </w:tcPr>
          <w:p w14:paraId="7EC59FC9"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21</w:t>
            </w:r>
          </w:p>
        </w:tc>
      </w:tr>
      <w:tr w:rsidR="00343429" w:rsidRPr="00343429" w14:paraId="582C37A9" w14:textId="77777777" w:rsidTr="00343429">
        <w:trPr>
          <w:trHeight w:val="300"/>
        </w:trPr>
        <w:tc>
          <w:tcPr>
            <w:tcW w:w="2180" w:type="dxa"/>
            <w:tcBorders>
              <w:top w:val="nil"/>
              <w:left w:val="nil"/>
              <w:bottom w:val="nil"/>
              <w:right w:val="nil"/>
            </w:tcBorders>
            <w:shd w:val="clear" w:color="auto" w:fill="auto"/>
            <w:noWrap/>
            <w:vAlign w:val="center"/>
            <w:hideMark/>
          </w:tcPr>
          <w:p w14:paraId="6EBBAF7C" w14:textId="77777777" w:rsidR="00343429" w:rsidRPr="00343429" w:rsidRDefault="00343429" w:rsidP="00343429">
            <w:pPr>
              <w:spacing w:after="0" w:line="240" w:lineRule="auto"/>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Outcome Studies</w:t>
            </w:r>
          </w:p>
        </w:tc>
        <w:tc>
          <w:tcPr>
            <w:tcW w:w="1120" w:type="dxa"/>
            <w:tcBorders>
              <w:top w:val="nil"/>
              <w:left w:val="nil"/>
              <w:bottom w:val="nil"/>
              <w:right w:val="nil"/>
            </w:tcBorders>
            <w:shd w:val="clear" w:color="auto" w:fill="auto"/>
            <w:noWrap/>
            <w:vAlign w:val="center"/>
            <w:hideMark/>
          </w:tcPr>
          <w:p w14:paraId="31482B8C"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eastAsia="en-CA"/>
              </w:rPr>
              <w:t>7</w:t>
            </w:r>
          </w:p>
        </w:tc>
        <w:tc>
          <w:tcPr>
            <w:tcW w:w="1120" w:type="dxa"/>
            <w:tcBorders>
              <w:top w:val="nil"/>
              <w:left w:val="nil"/>
              <w:bottom w:val="nil"/>
              <w:right w:val="nil"/>
            </w:tcBorders>
            <w:shd w:val="clear" w:color="auto" w:fill="auto"/>
            <w:noWrap/>
            <w:vAlign w:val="center"/>
            <w:hideMark/>
          </w:tcPr>
          <w:p w14:paraId="38BB6B4F"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14</w:t>
            </w:r>
          </w:p>
        </w:tc>
        <w:tc>
          <w:tcPr>
            <w:tcW w:w="1120" w:type="dxa"/>
            <w:tcBorders>
              <w:top w:val="nil"/>
              <w:left w:val="nil"/>
              <w:bottom w:val="nil"/>
              <w:right w:val="nil"/>
            </w:tcBorders>
            <w:shd w:val="clear" w:color="auto" w:fill="auto"/>
            <w:noWrap/>
            <w:vAlign w:val="center"/>
            <w:hideMark/>
          </w:tcPr>
          <w:p w14:paraId="09107A30"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10</w:t>
            </w:r>
          </w:p>
        </w:tc>
      </w:tr>
      <w:tr w:rsidR="00343429" w:rsidRPr="00343429" w14:paraId="07A940C8" w14:textId="77777777" w:rsidTr="00343429">
        <w:trPr>
          <w:trHeight w:val="315"/>
        </w:trPr>
        <w:tc>
          <w:tcPr>
            <w:tcW w:w="2180" w:type="dxa"/>
            <w:tcBorders>
              <w:top w:val="nil"/>
              <w:left w:val="nil"/>
              <w:bottom w:val="single" w:sz="8" w:space="0" w:color="auto"/>
              <w:right w:val="nil"/>
            </w:tcBorders>
            <w:shd w:val="clear" w:color="auto" w:fill="auto"/>
            <w:noWrap/>
            <w:vAlign w:val="center"/>
            <w:hideMark/>
          </w:tcPr>
          <w:p w14:paraId="33603F63" w14:textId="77777777" w:rsidR="00343429" w:rsidRPr="00343429" w:rsidRDefault="00343429" w:rsidP="00343429">
            <w:pPr>
              <w:spacing w:after="0" w:line="240" w:lineRule="auto"/>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Process Evaluations</w:t>
            </w:r>
          </w:p>
        </w:tc>
        <w:tc>
          <w:tcPr>
            <w:tcW w:w="1120" w:type="dxa"/>
            <w:tcBorders>
              <w:top w:val="nil"/>
              <w:left w:val="nil"/>
              <w:bottom w:val="single" w:sz="8" w:space="0" w:color="auto"/>
              <w:right w:val="nil"/>
            </w:tcBorders>
            <w:shd w:val="clear" w:color="auto" w:fill="auto"/>
            <w:noWrap/>
            <w:vAlign w:val="center"/>
            <w:hideMark/>
          </w:tcPr>
          <w:p w14:paraId="0E6C8F83"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eastAsia="en-CA"/>
              </w:rPr>
              <w:t>5</w:t>
            </w:r>
          </w:p>
        </w:tc>
        <w:tc>
          <w:tcPr>
            <w:tcW w:w="1120" w:type="dxa"/>
            <w:tcBorders>
              <w:top w:val="nil"/>
              <w:left w:val="nil"/>
              <w:bottom w:val="single" w:sz="8" w:space="0" w:color="auto"/>
              <w:right w:val="nil"/>
            </w:tcBorders>
            <w:shd w:val="clear" w:color="auto" w:fill="auto"/>
            <w:noWrap/>
            <w:vAlign w:val="center"/>
            <w:hideMark/>
          </w:tcPr>
          <w:p w14:paraId="75CA4032"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9</w:t>
            </w:r>
          </w:p>
        </w:tc>
        <w:tc>
          <w:tcPr>
            <w:tcW w:w="1120" w:type="dxa"/>
            <w:tcBorders>
              <w:top w:val="nil"/>
              <w:left w:val="nil"/>
              <w:bottom w:val="single" w:sz="8" w:space="0" w:color="auto"/>
              <w:right w:val="nil"/>
            </w:tcBorders>
            <w:shd w:val="clear" w:color="auto" w:fill="auto"/>
            <w:noWrap/>
            <w:vAlign w:val="center"/>
            <w:hideMark/>
          </w:tcPr>
          <w:p w14:paraId="6B0DB36D"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9</w:t>
            </w:r>
          </w:p>
        </w:tc>
      </w:tr>
      <w:tr w:rsidR="00343429" w:rsidRPr="00343429" w14:paraId="3A509F77" w14:textId="77777777" w:rsidTr="00343429">
        <w:trPr>
          <w:trHeight w:val="315"/>
        </w:trPr>
        <w:tc>
          <w:tcPr>
            <w:tcW w:w="2180" w:type="dxa"/>
            <w:tcBorders>
              <w:top w:val="nil"/>
              <w:left w:val="nil"/>
              <w:bottom w:val="single" w:sz="8" w:space="0" w:color="auto"/>
              <w:right w:val="nil"/>
            </w:tcBorders>
            <w:shd w:val="clear" w:color="auto" w:fill="auto"/>
            <w:noWrap/>
            <w:vAlign w:val="center"/>
            <w:hideMark/>
          </w:tcPr>
          <w:p w14:paraId="0326E697" w14:textId="77777777" w:rsidR="00343429" w:rsidRPr="00343429" w:rsidRDefault="00343429" w:rsidP="00343429">
            <w:pPr>
              <w:spacing w:after="0" w:line="240" w:lineRule="auto"/>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lastRenderedPageBreak/>
              <w:t>Total:</w:t>
            </w:r>
          </w:p>
        </w:tc>
        <w:tc>
          <w:tcPr>
            <w:tcW w:w="1120" w:type="dxa"/>
            <w:tcBorders>
              <w:top w:val="nil"/>
              <w:left w:val="nil"/>
              <w:bottom w:val="single" w:sz="8" w:space="0" w:color="auto"/>
              <w:right w:val="nil"/>
            </w:tcBorders>
            <w:shd w:val="clear" w:color="auto" w:fill="auto"/>
            <w:noWrap/>
            <w:vAlign w:val="center"/>
            <w:hideMark/>
          </w:tcPr>
          <w:p w14:paraId="0668EF99"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eastAsia="en-CA"/>
              </w:rPr>
              <w:t>19</w:t>
            </w:r>
          </w:p>
        </w:tc>
        <w:tc>
          <w:tcPr>
            <w:tcW w:w="1120" w:type="dxa"/>
            <w:tcBorders>
              <w:top w:val="nil"/>
              <w:left w:val="nil"/>
              <w:bottom w:val="single" w:sz="8" w:space="0" w:color="auto"/>
              <w:right w:val="nil"/>
            </w:tcBorders>
            <w:shd w:val="clear" w:color="auto" w:fill="auto"/>
            <w:noWrap/>
            <w:vAlign w:val="center"/>
            <w:hideMark/>
          </w:tcPr>
          <w:p w14:paraId="02BC71AB"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39</w:t>
            </w:r>
          </w:p>
        </w:tc>
        <w:tc>
          <w:tcPr>
            <w:tcW w:w="1120" w:type="dxa"/>
            <w:tcBorders>
              <w:top w:val="nil"/>
              <w:left w:val="nil"/>
              <w:bottom w:val="single" w:sz="8" w:space="0" w:color="auto"/>
              <w:right w:val="nil"/>
            </w:tcBorders>
            <w:shd w:val="clear" w:color="auto" w:fill="auto"/>
            <w:noWrap/>
            <w:vAlign w:val="center"/>
            <w:hideMark/>
          </w:tcPr>
          <w:p w14:paraId="12615042" w14:textId="77777777" w:rsidR="00343429" w:rsidRPr="00343429" w:rsidRDefault="00343429" w:rsidP="00343429">
            <w:pPr>
              <w:spacing w:after="0" w:line="240" w:lineRule="auto"/>
              <w:jc w:val="center"/>
              <w:rPr>
                <w:rFonts w:ascii="Times New Roman" w:eastAsia="Times New Roman" w:hAnsi="Times New Roman" w:cs="Times New Roman"/>
                <w:color w:val="000000"/>
                <w:sz w:val="20"/>
                <w:szCs w:val="20"/>
                <w:lang w:eastAsia="en-CA"/>
              </w:rPr>
            </w:pPr>
            <w:r w:rsidRPr="00343429">
              <w:rPr>
                <w:rFonts w:ascii="Times New Roman" w:eastAsia="Times New Roman" w:hAnsi="Times New Roman" w:cs="Times New Roman"/>
                <w:color w:val="000000"/>
                <w:sz w:val="20"/>
                <w:szCs w:val="20"/>
                <w:lang w:val="en-US" w:eastAsia="en-CA"/>
              </w:rPr>
              <w:t>42</w:t>
            </w:r>
          </w:p>
        </w:tc>
      </w:tr>
    </w:tbl>
    <w:p w14:paraId="42027798" w14:textId="77777777" w:rsidR="001A026D" w:rsidRPr="00745DC4" w:rsidRDefault="00745DC4" w:rsidP="00343429">
      <w:pPr>
        <w:spacing w:line="480" w:lineRule="auto"/>
        <w:rPr>
          <w:rFonts w:ascii="Times New Roman" w:hAnsi="Times New Roman" w:cs="Times New Roman"/>
          <w:sz w:val="20"/>
          <w:szCs w:val="20"/>
        </w:rPr>
      </w:pPr>
      <w:r w:rsidRPr="00745DC4">
        <w:rPr>
          <w:rFonts w:ascii="Times New Roman" w:hAnsi="Times New Roman" w:cs="Times New Roman"/>
          <w:sz w:val="20"/>
          <w:szCs w:val="20"/>
        </w:rPr>
        <w:t>Source:  Csiernik, 1995; 2005; 2011</w:t>
      </w:r>
    </w:p>
    <w:p w14:paraId="73B2ECB0" w14:textId="77777777" w:rsidR="00833C08" w:rsidRPr="00D41809" w:rsidRDefault="00530AA2" w:rsidP="00833C08">
      <w:pPr>
        <w:spacing w:line="480" w:lineRule="auto"/>
        <w:jc w:val="center"/>
        <w:rPr>
          <w:rFonts w:ascii="Times New Roman" w:hAnsi="Times New Roman" w:cs="Times New Roman"/>
          <w:b/>
          <w:bCs/>
          <w:sz w:val="24"/>
          <w:szCs w:val="24"/>
        </w:rPr>
      </w:pPr>
      <w:r w:rsidRPr="00D41809">
        <w:rPr>
          <w:rFonts w:ascii="Times New Roman" w:hAnsi="Times New Roman" w:cs="Times New Roman"/>
          <w:b/>
          <w:bCs/>
          <w:sz w:val="24"/>
          <w:szCs w:val="24"/>
        </w:rPr>
        <w:t>M</w:t>
      </w:r>
      <w:r w:rsidR="00833C08" w:rsidRPr="00D41809">
        <w:rPr>
          <w:rFonts w:ascii="Times New Roman" w:hAnsi="Times New Roman" w:cs="Times New Roman"/>
          <w:b/>
          <w:bCs/>
          <w:sz w:val="24"/>
          <w:szCs w:val="24"/>
        </w:rPr>
        <w:t>ethod</w:t>
      </w:r>
    </w:p>
    <w:p w14:paraId="322F2069" w14:textId="3E05437E" w:rsidR="00833C08" w:rsidRDefault="00B00851" w:rsidP="00833C08">
      <w:pPr>
        <w:spacing w:line="480" w:lineRule="auto"/>
        <w:rPr>
          <w:rFonts w:ascii="Times New Roman" w:hAnsi="Times New Roman" w:cs="Times New Roman"/>
          <w:sz w:val="24"/>
          <w:szCs w:val="24"/>
        </w:rPr>
      </w:pPr>
      <w:r>
        <w:rPr>
          <w:rFonts w:ascii="Times New Roman" w:hAnsi="Times New Roman" w:cs="Times New Roman"/>
          <w:sz w:val="24"/>
          <w:szCs w:val="24"/>
        </w:rPr>
        <w:tab/>
      </w:r>
      <w:r w:rsidR="00833C08">
        <w:rPr>
          <w:rFonts w:ascii="Times New Roman" w:hAnsi="Times New Roman" w:cs="Times New Roman"/>
          <w:sz w:val="24"/>
          <w:szCs w:val="24"/>
        </w:rPr>
        <w:t>Five electronic databases</w:t>
      </w:r>
      <w:r w:rsidR="00981B71">
        <w:rPr>
          <w:rFonts w:ascii="Times New Roman" w:hAnsi="Times New Roman" w:cs="Times New Roman"/>
          <w:sz w:val="24"/>
          <w:szCs w:val="24"/>
        </w:rPr>
        <w:t>;</w:t>
      </w:r>
      <w:r w:rsidR="00833C08">
        <w:rPr>
          <w:rFonts w:ascii="Times New Roman" w:hAnsi="Times New Roman" w:cs="Times New Roman"/>
          <w:sz w:val="24"/>
          <w:szCs w:val="24"/>
        </w:rPr>
        <w:t xml:space="preserve"> Google Scholar, Psych Info, </w:t>
      </w:r>
      <w:r w:rsidR="00F7177D">
        <w:rPr>
          <w:rFonts w:ascii="Times New Roman" w:hAnsi="Times New Roman" w:cs="Times New Roman"/>
          <w:sz w:val="24"/>
          <w:szCs w:val="24"/>
        </w:rPr>
        <w:t>Medline</w:t>
      </w:r>
      <w:r w:rsidR="00833C08">
        <w:rPr>
          <w:rFonts w:ascii="Times New Roman" w:hAnsi="Times New Roman" w:cs="Times New Roman"/>
          <w:sz w:val="24"/>
          <w:szCs w:val="24"/>
        </w:rPr>
        <w:t xml:space="preserve">, </w:t>
      </w:r>
      <w:r w:rsidR="00833C08" w:rsidRPr="001A026D">
        <w:rPr>
          <w:rFonts w:ascii="Times New Roman" w:hAnsi="Times New Roman" w:cs="Times New Roman"/>
          <w:sz w:val="24"/>
          <w:szCs w:val="24"/>
        </w:rPr>
        <w:t>Scholars Portal, and Social Work Abstracts, were all searched using the key words Employee Assistance, research, and evaluation for articles published from 2010 to 2019. As well, manual searches of the two prominent publica</w:t>
      </w:r>
      <w:r w:rsidR="00FB70F7" w:rsidRPr="001A026D">
        <w:rPr>
          <w:rFonts w:ascii="Times New Roman" w:hAnsi="Times New Roman" w:cs="Times New Roman"/>
          <w:sz w:val="24"/>
          <w:szCs w:val="24"/>
        </w:rPr>
        <w:t>tions in the e</w:t>
      </w:r>
      <w:r w:rsidR="00833C08" w:rsidRPr="001A026D">
        <w:rPr>
          <w:rFonts w:ascii="Times New Roman" w:hAnsi="Times New Roman" w:cs="Times New Roman"/>
          <w:sz w:val="24"/>
          <w:szCs w:val="24"/>
        </w:rPr>
        <w:t>mployee assistance field, Journal of Workplace Behavioural Health and Employee Assistance</w:t>
      </w:r>
      <w:r w:rsidR="006663CF">
        <w:rPr>
          <w:rFonts w:ascii="Times New Roman" w:hAnsi="Times New Roman" w:cs="Times New Roman"/>
          <w:sz w:val="24"/>
          <w:szCs w:val="24"/>
        </w:rPr>
        <w:t>,</w:t>
      </w:r>
      <w:r w:rsidR="00833C08" w:rsidRPr="001A026D">
        <w:rPr>
          <w:rFonts w:ascii="Times New Roman" w:hAnsi="Times New Roman" w:cs="Times New Roman"/>
          <w:sz w:val="24"/>
          <w:szCs w:val="24"/>
        </w:rPr>
        <w:t xml:space="preserve"> were</w:t>
      </w:r>
      <w:r w:rsidR="00833C08">
        <w:rPr>
          <w:rFonts w:ascii="Times New Roman" w:hAnsi="Times New Roman" w:cs="Times New Roman"/>
          <w:sz w:val="24"/>
          <w:szCs w:val="24"/>
        </w:rPr>
        <w:t xml:space="preserve"> conducted</w:t>
      </w:r>
      <w:r w:rsidR="00F7177D">
        <w:rPr>
          <w:rFonts w:ascii="Times New Roman" w:hAnsi="Times New Roman" w:cs="Times New Roman"/>
          <w:sz w:val="24"/>
          <w:szCs w:val="24"/>
        </w:rPr>
        <w:t xml:space="preserve"> to maintain consistency with previous studies</w:t>
      </w:r>
      <w:r w:rsidR="00833C08">
        <w:rPr>
          <w:rFonts w:ascii="Times New Roman" w:hAnsi="Times New Roman" w:cs="Times New Roman"/>
          <w:sz w:val="24"/>
          <w:szCs w:val="24"/>
        </w:rPr>
        <w:t xml:space="preserve">. </w:t>
      </w:r>
      <w:r w:rsidR="00F7177D" w:rsidRPr="00F7177D">
        <w:rPr>
          <w:rFonts w:ascii="Times New Roman" w:hAnsi="Times New Roman" w:cs="Times New Roman"/>
          <w:sz w:val="24"/>
          <w:szCs w:val="24"/>
        </w:rPr>
        <w:t>Studies were excluded if they: did not include EAP programs, did not satisfy Macdonald’s criteria, were published as private business reports, were not original research, were published only as part of a thesis, or were not written in English</w:t>
      </w:r>
      <w:r w:rsidR="00F7177D">
        <w:rPr>
          <w:rFonts w:ascii="Times New Roman" w:hAnsi="Times New Roman" w:cs="Times New Roman"/>
          <w:sz w:val="24"/>
          <w:szCs w:val="24"/>
        </w:rPr>
        <w:t xml:space="preserve">. </w:t>
      </w:r>
      <w:r w:rsidR="00833C08" w:rsidRPr="00F7177D">
        <w:rPr>
          <w:rFonts w:ascii="Times New Roman" w:hAnsi="Times New Roman" w:cs="Times New Roman"/>
          <w:sz w:val="24"/>
          <w:szCs w:val="24"/>
        </w:rPr>
        <w:t>A total of</w:t>
      </w:r>
      <w:r w:rsidR="00F7177D">
        <w:rPr>
          <w:rFonts w:ascii="Times New Roman" w:hAnsi="Times New Roman" w:cs="Times New Roman"/>
          <w:sz w:val="24"/>
          <w:szCs w:val="24"/>
        </w:rPr>
        <w:t xml:space="preserve"> </w:t>
      </w:r>
      <w:r w:rsidR="00833C08" w:rsidRPr="00F7177D">
        <w:rPr>
          <w:rFonts w:ascii="Times New Roman" w:hAnsi="Times New Roman" w:cs="Times New Roman"/>
          <w:sz w:val="24"/>
          <w:szCs w:val="24"/>
        </w:rPr>
        <w:t>26 differen</w:t>
      </w:r>
      <w:r w:rsidR="00833C08">
        <w:rPr>
          <w:rFonts w:ascii="Times New Roman" w:hAnsi="Times New Roman" w:cs="Times New Roman"/>
          <w:sz w:val="24"/>
          <w:szCs w:val="24"/>
        </w:rPr>
        <w:t xml:space="preserve">t publications were found and classified using Macdonald’s (1986) five steps in a comprehensive evaluation: </w:t>
      </w:r>
    </w:p>
    <w:p w14:paraId="54FB3B61" w14:textId="77777777" w:rsidR="00833C08" w:rsidRDefault="00833C08" w:rsidP="00833C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Needs assessment: to determine the overall program goals and direction</w:t>
      </w:r>
      <w:r w:rsidR="00806B6A">
        <w:rPr>
          <w:rFonts w:ascii="Times New Roman" w:hAnsi="Times New Roman" w:cs="Times New Roman"/>
          <w:sz w:val="24"/>
          <w:szCs w:val="24"/>
        </w:rPr>
        <w:t xml:space="preserve"> </w:t>
      </w:r>
    </w:p>
    <w:p w14:paraId="4521CCE8" w14:textId="77777777" w:rsidR="00833C08" w:rsidRDefault="00833C08" w:rsidP="00833C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Program Development (case studies): to describe the program, its rationale, and objectives</w:t>
      </w:r>
      <w:r w:rsidR="00806B6A">
        <w:rPr>
          <w:rFonts w:ascii="Times New Roman" w:hAnsi="Times New Roman" w:cs="Times New Roman"/>
          <w:sz w:val="24"/>
          <w:szCs w:val="24"/>
        </w:rPr>
        <w:t xml:space="preserve"> </w:t>
      </w:r>
    </w:p>
    <w:p w14:paraId="3CBEC3DD" w14:textId="77777777" w:rsidR="00833C08" w:rsidRDefault="00833C08" w:rsidP="00833C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Input Evaluation: to determine if the program components have been correctly implemented</w:t>
      </w:r>
      <w:r w:rsidR="00806B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6CB81E" w14:textId="77777777" w:rsidR="00833C08" w:rsidRDefault="00833C08" w:rsidP="00833C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Outcome Evaluation (including cost-benefit analysis): to determine if the program objectives have been achieved</w:t>
      </w:r>
      <w:r w:rsidR="00806B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E05800" w14:textId="77777777" w:rsidR="0097231E" w:rsidRPr="00833C08" w:rsidRDefault="00833C08" w:rsidP="00833C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Process Evaluation: to determine what the program is actually doing and how well. </w:t>
      </w:r>
    </w:p>
    <w:p w14:paraId="0F9CD0A5" w14:textId="77777777" w:rsidR="00F35BF6" w:rsidRPr="00D41809" w:rsidRDefault="00F35BF6" w:rsidP="007B1472">
      <w:pPr>
        <w:spacing w:line="480" w:lineRule="auto"/>
        <w:jc w:val="center"/>
        <w:rPr>
          <w:rFonts w:ascii="Times New Roman" w:hAnsi="Times New Roman" w:cs="Times New Roman"/>
          <w:b/>
          <w:bCs/>
          <w:sz w:val="24"/>
          <w:szCs w:val="24"/>
        </w:rPr>
      </w:pPr>
      <w:r w:rsidRPr="00D41809">
        <w:rPr>
          <w:rFonts w:ascii="Times New Roman" w:hAnsi="Times New Roman" w:cs="Times New Roman"/>
          <w:b/>
          <w:bCs/>
          <w:sz w:val="24"/>
          <w:szCs w:val="24"/>
        </w:rPr>
        <w:t>R</w:t>
      </w:r>
      <w:r w:rsidR="00B00851" w:rsidRPr="00D41809">
        <w:rPr>
          <w:rFonts w:ascii="Times New Roman" w:hAnsi="Times New Roman" w:cs="Times New Roman"/>
          <w:b/>
          <w:bCs/>
          <w:sz w:val="24"/>
          <w:szCs w:val="24"/>
        </w:rPr>
        <w:t>esults</w:t>
      </w:r>
    </w:p>
    <w:p w14:paraId="0DFCF8DA" w14:textId="77777777" w:rsidR="00020AC1" w:rsidRPr="00D41809" w:rsidRDefault="00F35BF6" w:rsidP="007B1472">
      <w:pPr>
        <w:spacing w:line="480" w:lineRule="auto"/>
        <w:rPr>
          <w:rFonts w:ascii="Times New Roman" w:hAnsi="Times New Roman" w:cs="Times New Roman"/>
          <w:b/>
          <w:bCs/>
          <w:sz w:val="24"/>
          <w:szCs w:val="24"/>
        </w:rPr>
      </w:pPr>
      <w:r w:rsidRPr="00D41809">
        <w:rPr>
          <w:rFonts w:ascii="Times New Roman" w:hAnsi="Times New Roman" w:cs="Times New Roman"/>
          <w:b/>
          <w:bCs/>
          <w:sz w:val="24"/>
          <w:szCs w:val="24"/>
        </w:rPr>
        <w:t>Needs Assessment</w:t>
      </w:r>
    </w:p>
    <w:p w14:paraId="3CE36B6F" w14:textId="6AFB17EE" w:rsidR="008654D6" w:rsidRPr="00F60D8C" w:rsidRDefault="00B00851" w:rsidP="007B147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35BF6" w:rsidRPr="00F60D8C">
        <w:rPr>
          <w:rFonts w:ascii="Times New Roman" w:hAnsi="Times New Roman" w:cs="Times New Roman"/>
          <w:sz w:val="24"/>
          <w:szCs w:val="24"/>
        </w:rPr>
        <w:t xml:space="preserve">One </w:t>
      </w:r>
      <w:r w:rsidR="009F4988">
        <w:rPr>
          <w:rFonts w:ascii="Times New Roman" w:hAnsi="Times New Roman" w:cs="Times New Roman"/>
          <w:sz w:val="24"/>
          <w:szCs w:val="24"/>
        </w:rPr>
        <w:t xml:space="preserve">peer-reviewed </w:t>
      </w:r>
      <w:r w:rsidR="00F35BF6" w:rsidRPr="00F60D8C">
        <w:rPr>
          <w:rFonts w:ascii="Times New Roman" w:hAnsi="Times New Roman" w:cs="Times New Roman"/>
          <w:sz w:val="24"/>
          <w:szCs w:val="24"/>
        </w:rPr>
        <w:t>needs assessment was published between 2010 and 2019, compared to two between 2000 and 2009</w:t>
      </w:r>
      <w:r w:rsidR="009F4988">
        <w:rPr>
          <w:rFonts w:ascii="Times New Roman" w:hAnsi="Times New Roman" w:cs="Times New Roman"/>
          <w:sz w:val="24"/>
          <w:szCs w:val="24"/>
        </w:rPr>
        <w:t>,</w:t>
      </w:r>
      <w:r w:rsidR="00F35BF6" w:rsidRPr="00F60D8C">
        <w:rPr>
          <w:rFonts w:ascii="Times New Roman" w:hAnsi="Times New Roman" w:cs="Times New Roman"/>
          <w:sz w:val="24"/>
          <w:szCs w:val="24"/>
        </w:rPr>
        <w:t xml:space="preserve"> four between 1990 and 1</w:t>
      </w:r>
      <w:r w:rsidR="008F7B75">
        <w:rPr>
          <w:rFonts w:ascii="Times New Roman" w:hAnsi="Times New Roman" w:cs="Times New Roman"/>
          <w:sz w:val="24"/>
          <w:szCs w:val="24"/>
        </w:rPr>
        <w:t>999</w:t>
      </w:r>
      <w:r w:rsidR="009F4988">
        <w:rPr>
          <w:rFonts w:ascii="Times New Roman" w:hAnsi="Times New Roman" w:cs="Times New Roman"/>
          <w:sz w:val="24"/>
          <w:szCs w:val="24"/>
        </w:rPr>
        <w:t xml:space="preserve"> and three between 1980 to 1989</w:t>
      </w:r>
      <w:r w:rsidR="008F7B75">
        <w:rPr>
          <w:rFonts w:ascii="Times New Roman" w:hAnsi="Times New Roman" w:cs="Times New Roman"/>
          <w:sz w:val="24"/>
          <w:szCs w:val="24"/>
        </w:rPr>
        <w:t xml:space="preserve">. Street et al. </w:t>
      </w:r>
      <w:r w:rsidR="00F35BF6" w:rsidRPr="00F60D8C">
        <w:rPr>
          <w:rFonts w:ascii="Times New Roman" w:hAnsi="Times New Roman" w:cs="Times New Roman"/>
          <w:sz w:val="24"/>
          <w:szCs w:val="24"/>
        </w:rPr>
        <w:t xml:space="preserve">(2018) </w:t>
      </w:r>
      <w:r w:rsidR="008654D6" w:rsidRPr="00F60D8C">
        <w:rPr>
          <w:rFonts w:ascii="Times New Roman" w:hAnsi="Times New Roman" w:cs="Times New Roman"/>
          <w:sz w:val="24"/>
          <w:szCs w:val="24"/>
        </w:rPr>
        <w:t xml:space="preserve">completed a survey of employees within an Australian mining company to assess levels of stress in the workplace, absenteeism and presenteeism, and </w:t>
      </w:r>
      <w:r w:rsidR="008A4D54" w:rsidRPr="00F60D8C">
        <w:rPr>
          <w:rFonts w:ascii="Times New Roman" w:hAnsi="Times New Roman" w:cs="Times New Roman"/>
          <w:sz w:val="24"/>
          <w:szCs w:val="24"/>
        </w:rPr>
        <w:t>employees</w:t>
      </w:r>
      <w:r w:rsidR="009F4988">
        <w:rPr>
          <w:rFonts w:ascii="Times New Roman" w:hAnsi="Times New Roman" w:cs="Times New Roman"/>
          <w:sz w:val="24"/>
          <w:szCs w:val="24"/>
        </w:rPr>
        <w:t>’</w:t>
      </w:r>
      <w:r w:rsidR="008654D6" w:rsidRPr="00F60D8C">
        <w:rPr>
          <w:rFonts w:ascii="Times New Roman" w:hAnsi="Times New Roman" w:cs="Times New Roman"/>
          <w:sz w:val="24"/>
          <w:szCs w:val="24"/>
        </w:rPr>
        <w:t xml:space="preserve"> desire and readiness to manage stress. Street et al. (2018) reported that stressed employees were associated with an average of 33.6% work impairment and impaired productivity costs of over $45,000 per employee</w:t>
      </w:r>
      <w:r w:rsidR="00094698">
        <w:rPr>
          <w:rFonts w:ascii="Times New Roman" w:hAnsi="Times New Roman" w:cs="Times New Roman"/>
          <w:sz w:val="24"/>
          <w:szCs w:val="24"/>
        </w:rPr>
        <w:t xml:space="preserve"> </w:t>
      </w:r>
      <w:r w:rsidR="009F4988">
        <w:rPr>
          <w:rFonts w:ascii="Times New Roman" w:hAnsi="Times New Roman" w:cs="Times New Roman"/>
          <w:sz w:val="24"/>
          <w:szCs w:val="24"/>
        </w:rPr>
        <w:t>(AUD)</w:t>
      </w:r>
      <w:r w:rsidR="008654D6" w:rsidRPr="00F60D8C">
        <w:rPr>
          <w:rFonts w:ascii="Times New Roman" w:hAnsi="Times New Roman" w:cs="Times New Roman"/>
          <w:sz w:val="24"/>
          <w:szCs w:val="24"/>
        </w:rPr>
        <w:t xml:space="preserve">. </w:t>
      </w:r>
      <w:r w:rsidR="008A4D54" w:rsidRPr="00F60D8C">
        <w:rPr>
          <w:rFonts w:ascii="Times New Roman" w:hAnsi="Times New Roman" w:cs="Times New Roman"/>
          <w:sz w:val="24"/>
          <w:szCs w:val="24"/>
        </w:rPr>
        <w:t>O</w:t>
      </w:r>
      <w:r w:rsidR="008F7B75">
        <w:rPr>
          <w:rFonts w:ascii="Times New Roman" w:hAnsi="Times New Roman" w:cs="Times New Roman"/>
          <w:sz w:val="24"/>
          <w:szCs w:val="24"/>
        </w:rPr>
        <w:t>f</w:t>
      </w:r>
      <w:r w:rsidR="008A4D54" w:rsidRPr="00F60D8C">
        <w:rPr>
          <w:rFonts w:ascii="Times New Roman" w:hAnsi="Times New Roman" w:cs="Times New Roman"/>
          <w:sz w:val="24"/>
          <w:szCs w:val="24"/>
        </w:rPr>
        <w:t xml:space="preserve"> the employees who identified as feeling stressed all the time, 36% wanted assista</w:t>
      </w:r>
      <w:r w:rsidR="008F7B75">
        <w:rPr>
          <w:rFonts w:ascii="Times New Roman" w:hAnsi="Times New Roman" w:cs="Times New Roman"/>
          <w:sz w:val="24"/>
          <w:szCs w:val="24"/>
        </w:rPr>
        <w:t xml:space="preserve">nce with managing their stress, while </w:t>
      </w:r>
      <w:r w:rsidR="008A4D54" w:rsidRPr="00F60D8C">
        <w:rPr>
          <w:rFonts w:ascii="Times New Roman" w:hAnsi="Times New Roman" w:cs="Times New Roman"/>
          <w:sz w:val="24"/>
          <w:szCs w:val="24"/>
        </w:rPr>
        <w:t xml:space="preserve">52% of employees experiencing stress most of the time, and 33% of day shift employees experiencing permanent stress identified wanting assistance with managing their stress. </w:t>
      </w:r>
      <w:r w:rsidR="00075E2A">
        <w:rPr>
          <w:rFonts w:ascii="Times New Roman" w:hAnsi="Times New Roman" w:cs="Times New Roman"/>
          <w:sz w:val="24"/>
          <w:szCs w:val="24"/>
        </w:rPr>
        <w:t xml:space="preserve">This information </w:t>
      </w:r>
      <w:r w:rsidR="009F4988">
        <w:rPr>
          <w:rFonts w:ascii="Times New Roman" w:hAnsi="Times New Roman" w:cs="Times New Roman"/>
          <w:sz w:val="24"/>
          <w:szCs w:val="24"/>
        </w:rPr>
        <w:t xml:space="preserve">was of use not only to the organization conducting the needs assessment, but also to others in </w:t>
      </w:r>
      <w:r w:rsidR="00075E2A">
        <w:rPr>
          <w:rFonts w:ascii="Times New Roman" w:hAnsi="Times New Roman" w:cs="Times New Roman"/>
          <w:sz w:val="24"/>
          <w:szCs w:val="24"/>
        </w:rPr>
        <w:t>design</w:t>
      </w:r>
      <w:r w:rsidR="009F4988">
        <w:rPr>
          <w:rFonts w:ascii="Times New Roman" w:hAnsi="Times New Roman" w:cs="Times New Roman"/>
          <w:sz w:val="24"/>
          <w:szCs w:val="24"/>
        </w:rPr>
        <w:t xml:space="preserve">ing responsive </w:t>
      </w:r>
      <w:r w:rsidR="00075E2A">
        <w:rPr>
          <w:rFonts w:ascii="Times New Roman" w:hAnsi="Times New Roman" w:cs="Times New Roman"/>
          <w:sz w:val="24"/>
          <w:szCs w:val="24"/>
        </w:rPr>
        <w:t>workplace stress management services</w:t>
      </w:r>
      <w:r w:rsidR="009F4988">
        <w:rPr>
          <w:rFonts w:ascii="Times New Roman" w:hAnsi="Times New Roman" w:cs="Times New Roman"/>
          <w:sz w:val="24"/>
          <w:szCs w:val="24"/>
        </w:rPr>
        <w:t>.  However</w:t>
      </w:r>
      <w:r w:rsidR="00075E2A">
        <w:rPr>
          <w:rFonts w:ascii="Times New Roman" w:hAnsi="Times New Roman" w:cs="Times New Roman"/>
          <w:sz w:val="24"/>
          <w:szCs w:val="24"/>
        </w:rPr>
        <w:t>, no specific discussion of actions to be taken by the evaluated company was included in the published study</w:t>
      </w:r>
      <w:r w:rsidR="00712386">
        <w:rPr>
          <w:rFonts w:ascii="Times New Roman" w:hAnsi="Times New Roman" w:cs="Times New Roman"/>
          <w:sz w:val="24"/>
          <w:szCs w:val="24"/>
        </w:rPr>
        <w:t>’s discussion</w:t>
      </w:r>
      <w:r w:rsidR="00075E2A">
        <w:rPr>
          <w:rFonts w:ascii="Times New Roman" w:hAnsi="Times New Roman" w:cs="Times New Roman"/>
          <w:sz w:val="24"/>
          <w:szCs w:val="24"/>
        </w:rPr>
        <w:t xml:space="preserve">. </w:t>
      </w:r>
    </w:p>
    <w:p w14:paraId="7B9D498D" w14:textId="77777777" w:rsidR="00DE3CD4" w:rsidRPr="00D41809" w:rsidRDefault="00DE3CD4" w:rsidP="007B1472">
      <w:pPr>
        <w:spacing w:line="480" w:lineRule="auto"/>
        <w:rPr>
          <w:rFonts w:ascii="Times New Roman" w:hAnsi="Times New Roman" w:cs="Times New Roman"/>
          <w:b/>
          <w:bCs/>
          <w:sz w:val="24"/>
          <w:szCs w:val="24"/>
        </w:rPr>
      </w:pPr>
      <w:r w:rsidRPr="00D41809">
        <w:rPr>
          <w:rFonts w:ascii="Times New Roman" w:hAnsi="Times New Roman" w:cs="Times New Roman"/>
          <w:b/>
          <w:bCs/>
          <w:sz w:val="24"/>
          <w:szCs w:val="24"/>
        </w:rPr>
        <w:t>Program Development (Case Studies)</w:t>
      </w:r>
    </w:p>
    <w:p w14:paraId="5C1BAA52" w14:textId="07DE32C5" w:rsidR="00560F79" w:rsidRDefault="00B00851" w:rsidP="007B1472">
      <w:pPr>
        <w:spacing w:line="480" w:lineRule="auto"/>
        <w:rPr>
          <w:rFonts w:ascii="Times New Roman" w:hAnsi="Times New Roman" w:cs="Times New Roman"/>
          <w:sz w:val="24"/>
          <w:szCs w:val="24"/>
        </w:rPr>
      </w:pPr>
      <w:r>
        <w:rPr>
          <w:rFonts w:ascii="Times New Roman" w:hAnsi="Times New Roman" w:cs="Times New Roman"/>
          <w:sz w:val="24"/>
          <w:szCs w:val="24"/>
        </w:rPr>
        <w:tab/>
      </w:r>
      <w:r w:rsidR="00DE3CD4" w:rsidRPr="00F60D8C">
        <w:rPr>
          <w:rFonts w:ascii="Times New Roman" w:hAnsi="Times New Roman" w:cs="Times New Roman"/>
          <w:sz w:val="24"/>
          <w:szCs w:val="24"/>
        </w:rPr>
        <w:t xml:space="preserve">Only three </w:t>
      </w:r>
      <w:r w:rsidR="00094698">
        <w:rPr>
          <w:rFonts w:ascii="Times New Roman" w:hAnsi="Times New Roman" w:cs="Times New Roman"/>
          <w:sz w:val="24"/>
          <w:szCs w:val="24"/>
        </w:rPr>
        <w:t xml:space="preserve">peer-reviewed </w:t>
      </w:r>
      <w:r w:rsidR="00DE3CD4" w:rsidRPr="00F60D8C">
        <w:rPr>
          <w:rFonts w:ascii="Times New Roman" w:hAnsi="Times New Roman" w:cs="Times New Roman"/>
          <w:sz w:val="24"/>
          <w:szCs w:val="24"/>
        </w:rPr>
        <w:t xml:space="preserve">cases studies were published between 2010 and 2019, </w:t>
      </w:r>
      <w:r w:rsidR="00094698">
        <w:rPr>
          <w:rFonts w:ascii="Times New Roman" w:hAnsi="Times New Roman" w:cs="Times New Roman"/>
          <w:sz w:val="24"/>
          <w:szCs w:val="24"/>
        </w:rPr>
        <w:t xml:space="preserve">the lowest number during any decade examined, and a sharp decrease </w:t>
      </w:r>
      <w:r w:rsidR="00DE3CD4" w:rsidRPr="00F60D8C">
        <w:rPr>
          <w:rFonts w:ascii="Times New Roman" w:hAnsi="Times New Roman" w:cs="Times New Roman"/>
          <w:sz w:val="24"/>
          <w:szCs w:val="24"/>
        </w:rPr>
        <w:t>compared to 21 in the decade before.</w:t>
      </w:r>
      <w:r w:rsidR="008C6ECB">
        <w:rPr>
          <w:rFonts w:ascii="Times New Roman" w:hAnsi="Times New Roman" w:cs="Times New Roman"/>
          <w:sz w:val="24"/>
          <w:szCs w:val="24"/>
        </w:rPr>
        <w:t xml:space="preserve"> O</w:t>
      </w:r>
      <w:r w:rsidR="00C15D9A" w:rsidRPr="00F60D8C">
        <w:rPr>
          <w:rFonts w:ascii="Times New Roman" w:hAnsi="Times New Roman" w:cs="Times New Roman"/>
          <w:sz w:val="24"/>
          <w:szCs w:val="24"/>
        </w:rPr>
        <w:t>ne case study examined an external EAP provider (Wang</w:t>
      </w:r>
      <w:r w:rsidR="00981B71">
        <w:rPr>
          <w:rFonts w:ascii="Times New Roman" w:hAnsi="Times New Roman" w:cs="Times New Roman"/>
          <w:sz w:val="24"/>
          <w:szCs w:val="24"/>
        </w:rPr>
        <w:t xml:space="preserve"> et al.</w:t>
      </w:r>
      <w:r w:rsidR="00C15D9A" w:rsidRPr="00F60D8C">
        <w:rPr>
          <w:rFonts w:ascii="Times New Roman" w:hAnsi="Times New Roman" w:cs="Times New Roman"/>
          <w:sz w:val="24"/>
          <w:szCs w:val="24"/>
        </w:rPr>
        <w:t xml:space="preserve">, 2014), </w:t>
      </w:r>
      <w:r w:rsidR="008C6ECB">
        <w:rPr>
          <w:rFonts w:ascii="Times New Roman" w:hAnsi="Times New Roman" w:cs="Times New Roman"/>
          <w:sz w:val="24"/>
          <w:szCs w:val="24"/>
        </w:rPr>
        <w:t xml:space="preserve">while the remaining </w:t>
      </w:r>
      <w:r w:rsidR="00C15D9A" w:rsidRPr="00F60D8C">
        <w:rPr>
          <w:rFonts w:ascii="Times New Roman" w:hAnsi="Times New Roman" w:cs="Times New Roman"/>
          <w:sz w:val="24"/>
          <w:szCs w:val="24"/>
        </w:rPr>
        <w:t xml:space="preserve">two </w:t>
      </w:r>
      <w:r w:rsidR="00FB4946">
        <w:rPr>
          <w:rFonts w:ascii="Times New Roman" w:hAnsi="Times New Roman" w:cs="Times New Roman"/>
          <w:sz w:val="24"/>
          <w:szCs w:val="24"/>
        </w:rPr>
        <w:t>focused on</w:t>
      </w:r>
      <w:r w:rsidR="00C15D9A" w:rsidRPr="00F60D8C">
        <w:rPr>
          <w:rFonts w:ascii="Times New Roman" w:hAnsi="Times New Roman" w:cs="Times New Roman"/>
          <w:sz w:val="24"/>
          <w:szCs w:val="24"/>
        </w:rPr>
        <w:t xml:space="preserve"> hybrid programs involving both internal and external resources (Hood &amp; Csiernik, 2017; Rakepa &amp; Uys, 2013). While only three cases studies were published in the last decade, they </w:t>
      </w:r>
      <w:r w:rsidR="00094698">
        <w:rPr>
          <w:rFonts w:ascii="Times New Roman" w:hAnsi="Times New Roman" w:cs="Times New Roman"/>
          <w:sz w:val="24"/>
          <w:szCs w:val="24"/>
        </w:rPr>
        <w:t xml:space="preserve">still </w:t>
      </w:r>
      <w:r w:rsidR="00C15D9A" w:rsidRPr="00F60D8C">
        <w:rPr>
          <w:rFonts w:ascii="Times New Roman" w:hAnsi="Times New Roman" w:cs="Times New Roman"/>
          <w:sz w:val="24"/>
          <w:szCs w:val="24"/>
        </w:rPr>
        <w:t>gave insight into a variety of workplaces and countries</w:t>
      </w:r>
      <w:r w:rsidR="00FB4946">
        <w:rPr>
          <w:rFonts w:ascii="Times New Roman" w:hAnsi="Times New Roman" w:cs="Times New Roman"/>
          <w:sz w:val="24"/>
          <w:szCs w:val="24"/>
        </w:rPr>
        <w:t xml:space="preserve"> (Table 2)</w:t>
      </w:r>
      <w:r w:rsidR="00C15D9A" w:rsidRPr="00F60D8C">
        <w:rPr>
          <w:rFonts w:ascii="Times New Roman" w:hAnsi="Times New Roman" w:cs="Times New Roman"/>
          <w:sz w:val="24"/>
          <w:szCs w:val="24"/>
        </w:rPr>
        <w:t xml:space="preserve">. The sectors that were examined included </w:t>
      </w:r>
      <w:r w:rsidR="00FE73E9" w:rsidRPr="00F60D8C">
        <w:rPr>
          <w:rFonts w:ascii="Times New Roman" w:hAnsi="Times New Roman" w:cs="Times New Roman"/>
          <w:sz w:val="24"/>
          <w:szCs w:val="24"/>
        </w:rPr>
        <w:t xml:space="preserve">technology, retail, and education. Similarly, each of the case studies examined an organization from a different country, representing EAPs </w:t>
      </w:r>
      <w:r w:rsidR="00094698">
        <w:rPr>
          <w:rFonts w:ascii="Times New Roman" w:hAnsi="Times New Roman" w:cs="Times New Roman"/>
          <w:sz w:val="24"/>
          <w:szCs w:val="24"/>
        </w:rPr>
        <w:t xml:space="preserve">providing services </w:t>
      </w:r>
      <w:r w:rsidR="00FE73E9" w:rsidRPr="00F60D8C">
        <w:rPr>
          <w:rFonts w:ascii="Times New Roman" w:hAnsi="Times New Roman" w:cs="Times New Roman"/>
          <w:sz w:val="24"/>
          <w:szCs w:val="24"/>
        </w:rPr>
        <w:t>in Canada, South Africa, and Taiwan.</w:t>
      </w:r>
      <w:r w:rsidR="009B1299">
        <w:rPr>
          <w:rFonts w:ascii="Times New Roman" w:hAnsi="Times New Roman" w:cs="Times New Roman"/>
          <w:sz w:val="24"/>
          <w:szCs w:val="24"/>
        </w:rPr>
        <w:t xml:space="preserve"> Two of the three studies included information on </w:t>
      </w:r>
      <w:r w:rsidR="009B1299">
        <w:rPr>
          <w:rFonts w:ascii="Times New Roman" w:hAnsi="Times New Roman" w:cs="Times New Roman"/>
          <w:sz w:val="24"/>
          <w:szCs w:val="24"/>
        </w:rPr>
        <w:lastRenderedPageBreak/>
        <w:t xml:space="preserve">workforce size of the organization, one with 5000 and another with an estimated 6500 employees supported by the EAP. </w:t>
      </w:r>
    </w:p>
    <w:p w14:paraId="2C61EE9F" w14:textId="77777777" w:rsidR="001A026D" w:rsidRDefault="00B00851" w:rsidP="001A026D">
      <w:pPr>
        <w:spacing w:line="480" w:lineRule="auto"/>
        <w:rPr>
          <w:rFonts w:ascii="Times New Roman" w:hAnsi="Times New Roman" w:cs="Times New Roman"/>
          <w:sz w:val="24"/>
          <w:szCs w:val="24"/>
        </w:rPr>
      </w:pPr>
      <w:r>
        <w:rPr>
          <w:rFonts w:ascii="Times New Roman" w:hAnsi="Times New Roman" w:cs="Times New Roman"/>
          <w:sz w:val="24"/>
          <w:szCs w:val="24"/>
        </w:rPr>
        <w:tab/>
      </w:r>
      <w:r w:rsidR="008C6ECB">
        <w:rPr>
          <w:rFonts w:ascii="Times New Roman" w:hAnsi="Times New Roman" w:cs="Times New Roman"/>
          <w:sz w:val="24"/>
          <w:szCs w:val="24"/>
        </w:rPr>
        <w:t xml:space="preserve">The themes covered by each of these three case studies were diverse. Hood </w:t>
      </w:r>
      <w:r w:rsidR="00A84898">
        <w:rPr>
          <w:rFonts w:ascii="Times New Roman" w:hAnsi="Times New Roman" w:cs="Times New Roman"/>
          <w:sz w:val="24"/>
          <w:szCs w:val="24"/>
        </w:rPr>
        <w:t xml:space="preserve">and Csiernik </w:t>
      </w:r>
      <w:r w:rsidR="008C6ECB">
        <w:rPr>
          <w:rFonts w:ascii="Times New Roman" w:hAnsi="Times New Roman" w:cs="Times New Roman"/>
          <w:sz w:val="24"/>
          <w:szCs w:val="24"/>
        </w:rPr>
        <w:t xml:space="preserve">(2017) described an EAP that provides support for employees through union funding and oversight, separate from the organization that the unionized employees work for. Addressed in the case study by Rakepa and Uys (2013) were the inefficiencies present in the existing EAP supporting employees in </w:t>
      </w:r>
      <w:r w:rsidR="00094698">
        <w:rPr>
          <w:rFonts w:ascii="Times New Roman" w:hAnsi="Times New Roman" w:cs="Times New Roman"/>
          <w:sz w:val="24"/>
          <w:szCs w:val="24"/>
        </w:rPr>
        <w:t xml:space="preserve">South Africa’s </w:t>
      </w:r>
      <w:r w:rsidR="008C6ECB">
        <w:rPr>
          <w:rFonts w:ascii="Times New Roman" w:hAnsi="Times New Roman" w:cs="Times New Roman"/>
          <w:sz w:val="24"/>
          <w:szCs w:val="24"/>
        </w:rPr>
        <w:t>Motheo Districts Department of Education, as well as improvements that c</w:t>
      </w:r>
      <w:r w:rsidR="00094698">
        <w:rPr>
          <w:rFonts w:ascii="Times New Roman" w:hAnsi="Times New Roman" w:cs="Times New Roman"/>
          <w:sz w:val="24"/>
          <w:szCs w:val="24"/>
        </w:rPr>
        <w:t xml:space="preserve">ould </w:t>
      </w:r>
      <w:r w:rsidR="008C6ECB">
        <w:rPr>
          <w:rFonts w:ascii="Times New Roman" w:hAnsi="Times New Roman" w:cs="Times New Roman"/>
          <w:sz w:val="24"/>
          <w:szCs w:val="24"/>
        </w:rPr>
        <w:t xml:space="preserve">be made to improve the </w:t>
      </w:r>
      <w:r w:rsidR="00094698">
        <w:rPr>
          <w:rFonts w:ascii="Times New Roman" w:hAnsi="Times New Roman" w:cs="Times New Roman"/>
          <w:sz w:val="24"/>
          <w:szCs w:val="24"/>
        </w:rPr>
        <w:t>existing services</w:t>
      </w:r>
      <w:r w:rsidR="008C6ECB">
        <w:rPr>
          <w:rFonts w:ascii="Times New Roman" w:hAnsi="Times New Roman" w:cs="Times New Roman"/>
          <w:sz w:val="24"/>
          <w:szCs w:val="24"/>
        </w:rPr>
        <w:t xml:space="preserve">. Finally, Wang et al. (2014) explored the </w:t>
      </w:r>
      <w:r w:rsidR="001A026D">
        <w:rPr>
          <w:rFonts w:ascii="Times New Roman" w:hAnsi="Times New Roman" w:cs="Times New Roman"/>
          <w:sz w:val="24"/>
          <w:szCs w:val="24"/>
        </w:rPr>
        <w:t>various reasons that employees may seek assistance, providing insight into the problems facing employees in the technology industry</w:t>
      </w:r>
      <w:r w:rsidR="00094698">
        <w:rPr>
          <w:rFonts w:ascii="Times New Roman" w:hAnsi="Times New Roman" w:cs="Times New Roman"/>
          <w:sz w:val="24"/>
          <w:szCs w:val="24"/>
        </w:rPr>
        <w:t xml:space="preserve"> in Taiwan</w:t>
      </w:r>
      <w:r w:rsidR="001A026D">
        <w:rPr>
          <w:rFonts w:ascii="Times New Roman" w:hAnsi="Times New Roman" w:cs="Times New Roman"/>
          <w:sz w:val="24"/>
          <w:szCs w:val="24"/>
        </w:rPr>
        <w:t xml:space="preserve">. </w:t>
      </w:r>
    </w:p>
    <w:p w14:paraId="440C13A4" w14:textId="77777777" w:rsidR="001A026D" w:rsidRPr="00D41809" w:rsidRDefault="001A026D" w:rsidP="001A026D">
      <w:pPr>
        <w:spacing w:line="480" w:lineRule="auto"/>
        <w:rPr>
          <w:rFonts w:ascii="Times New Roman" w:hAnsi="Times New Roman" w:cs="Times New Roman"/>
          <w:b/>
          <w:bCs/>
          <w:sz w:val="24"/>
          <w:szCs w:val="24"/>
        </w:rPr>
      </w:pPr>
      <w:r w:rsidRPr="00D41809">
        <w:rPr>
          <w:rFonts w:ascii="Times New Roman" w:hAnsi="Times New Roman" w:cs="Times New Roman"/>
          <w:b/>
          <w:bCs/>
          <w:sz w:val="24"/>
          <w:szCs w:val="24"/>
        </w:rPr>
        <w:t>Input Evaluation</w:t>
      </w:r>
    </w:p>
    <w:p w14:paraId="1E5A582A" w14:textId="3DD1F986" w:rsidR="001A026D" w:rsidRPr="00F60D8C" w:rsidRDefault="001A026D" w:rsidP="001A02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seen in </w:t>
      </w:r>
      <w:r w:rsidRPr="00F60D8C">
        <w:rPr>
          <w:rFonts w:ascii="Times New Roman" w:hAnsi="Times New Roman" w:cs="Times New Roman"/>
          <w:sz w:val="24"/>
          <w:szCs w:val="24"/>
        </w:rPr>
        <w:t>pr</w:t>
      </w:r>
      <w:r>
        <w:rPr>
          <w:rFonts w:ascii="Times New Roman" w:hAnsi="Times New Roman" w:cs="Times New Roman"/>
          <w:sz w:val="24"/>
          <w:szCs w:val="24"/>
        </w:rPr>
        <w:t>evious decades</w:t>
      </w:r>
      <w:r w:rsidRPr="00F60D8C">
        <w:rPr>
          <w:rFonts w:ascii="Times New Roman" w:hAnsi="Times New Roman" w:cs="Times New Roman"/>
          <w:sz w:val="24"/>
          <w:szCs w:val="24"/>
        </w:rPr>
        <w:t xml:space="preserve"> (Csiernik, </w:t>
      </w:r>
      <w:r w:rsidR="00F358EC">
        <w:rPr>
          <w:rFonts w:ascii="Times New Roman" w:hAnsi="Times New Roman" w:cs="Times New Roman"/>
          <w:sz w:val="24"/>
          <w:szCs w:val="24"/>
        </w:rPr>
        <w:t xml:space="preserve">1995; </w:t>
      </w:r>
      <w:r w:rsidRPr="00F60D8C">
        <w:rPr>
          <w:rFonts w:ascii="Times New Roman" w:hAnsi="Times New Roman" w:cs="Times New Roman"/>
          <w:sz w:val="24"/>
          <w:szCs w:val="24"/>
        </w:rPr>
        <w:t>2</w:t>
      </w:r>
      <w:r>
        <w:rPr>
          <w:rFonts w:ascii="Times New Roman" w:hAnsi="Times New Roman" w:cs="Times New Roman"/>
          <w:sz w:val="24"/>
          <w:szCs w:val="24"/>
        </w:rPr>
        <w:t xml:space="preserve">005; 2011), there were </w:t>
      </w:r>
      <w:r w:rsidR="00F358EC">
        <w:rPr>
          <w:rFonts w:ascii="Times New Roman" w:hAnsi="Times New Roman" w:cs="Times New Roman"/>
          <w:sz w:val="24"/>
          <w:szCs w:val="24"/>
        </w:rPr>
        <w:t xml:space="preserve">no </w:t>
      </w:r>
      <w:r w:rsidRPr="00F60D8C">
        <w:rPr>
          <w:rFonts w:ascii="Times New Roman" w:hAnsi="Times New Roman" w:cs="Times New Roman"/>
          <w:sz w:val="24"/>
          <w:szCs w:val="24"/>
        </w:rPr>
        <w:t>input evaluations found during this review of the</w:t>
      </w:r>
      <w:r>
        <w:rPr>
          <w:rFonts w:ascii="Times New Roman" w:hAnsi="Times New Roman" w:cs="Times New Roman"/>
          <w:sz w:val="24"/>
          <w:szCs w:val="24"/>
        </w:rPr>
        <w:t xml:space="preserve"> literature from 2010 to 2019</w:t>
      </w:r>
      <w:r w:rsidRPr="00F60D8C">
        <w:rPr>
          <w:rFonts w:ascii="Times New Roman" w:hAnsi="Times New Roman" w:cs="Times New Roman"/>
          <w:sz w:val="24"/>
          <w:szCs w:val="24"/>
        </w:rPr>
        <w:t xml:space="preserve">. Input evaluations are </w:t>
      </w:r>
      <w:r>
        <w:rPr>
          <w:rFonts w:ascii="Times New Roman" w:hAnsi="Times New Roman" w:cs="Times New Roman"/>
          <w:sz w:val="24"/>
          <w:szCs w:val="24"/>
        </w:rPr>
        <w:t xml:space="preserve">most commonly </w:t>
      </w:r>
      <w:r w:rsidRPr="00F60D8C">
        <w:rPr>
          <w:rFonts w:ascii="Times New Roman" w:hAnsi="Times New Roman" w:cs="Times New Roman"/>
          <w:sz w:val="24"/>
          <w:szCs w:val="24"/>
        </w:rPr>
        <w:t>used to ensure that a program is doing what it was intended to (Macdonald, 1986), and are thus utilized most frequently as an internal device. While these evaluations can be valuable to organizations as a way to ensure the EAP they ha</w:t>
      </w:r>
      <w:r>
        <w:rPr>
          <w:rFonts w:ascii="Times New Roman" w:hAnsi="Times New Roman" w:cs="Times New Roman"/>
          <w:sz w:val="24"/>
          <w:szCs w:val="24"/>
        </w:rPr>
        <w:t>ve in place is operating in the ways that they believe it to be</w:t>
      </w:r>
      <w:r w:rsidRPr="00F60D8C">
        <w:rPr>
          <w:rFonts w:ascii="Times New Roman" w:hAnsi="Times New Roman" w:cs="Times New Roman"/>
          <w:sz w:val="24"/>
          <w:szCs w:val="24"/>
        </w:rPr>
        <w:t xml:space="preserve">, they do not </w:t>
      </w:r>
      <w:r w:rsidR="00F358EC">
        <w:rPr>
          <w:rFonts w:ascii="Times New Roman" w:hAnsi="Times New Roman" w:cs="Times New Roman"/>
          <w:sz w:val="24"/>
          <w:szCs w:val="24"/>
        </w:rPr>
        <w:t xml:space="preserve">typically </w:t>
      </w:r>
      <w:r w:rsidRPr="00F60D8C">
        <w:rPr>
          <w:rFonts w:ascii="Times New Roman" w:hAnsi="Times New Roman" w:cs="Times New Roman"/>
          <w:sz w:val="24"/>
          <w:szCs w:val="24"/>
        </w:rPr>
        <w:t xml:space="preserve">generate </w:t>
      </w:r>
      <w:r w:rsidR="00F358EC">
        <w:rPr>
          <w:rFonts w:ascii="Times New Roman" w:hAnsi="Times New Roman" w:cs="Times New Roman"/>
          <w:sz w:val="24"/>
          <w:szCs w:val="24"/>
        </w:rPr>
        <w:t xml:space="preserve">adequate </w:t>
      </w:r>
      <w:r w:rsidRPr="00F60D8C">
        <w:rPr>
          <w:rFonts w:ascii="Times New Roman" w:hAnsi="Times New Roman" w:cs="Times New Roman"/>
          <w:sz w:val="24"/>
          <w:szCs w:val="24"/>
        </w:rPr>
        <w:t xml:space="preserve">information for a formal academic review. Therefore, it is not surprising that </w:t>
      </w:r>
      <w:r w:rsidR="00F358EC">
        <w:rPr>
          <w:rFonts w:ascii="Times New Roman" w:hAnsi="Times New Roman" w:cs="Times New Roman"/>
          <w:sz w:val="24"/>
          <w:szCs w:val="24"/>
        </w:rPr>
        <w:t xml:space="preserve">there was again </w:t>
      </w:r>
      <w:r w:rsidRPr="00F60D8C">
        <w:rPr>
          <w:rFonts w:ascii="Times New Roman" w:hAnsi="Times New Roman" w:cs="Times New Roman"/>
          <w:sz w:val="24"/>
          <w:szCs w:val="24"/>
        </w:rPr>
        <w:t xml:space="preserve">no input evaluations in the </w:t>
      </w:r>
      <w:r w:rsidR="00F358EC">
        <w:rPr>
          <w:rFonts w:ascii="Times New Roman" w:hAnsi="Times New Roman" w:cs="Times New Roman"/>
          <w:sz w:val="24"/>
          <w:szCs w:val="24"/>
        </w:rPr>
        <w:t>peer-</w:t>
      </w:r>
      <w:r w:rsidRPr="00F60D8C">
        <w:rPr>
          <w:rFonts w:ascii="Times New Roman" w:hAnsi="Times New Roman" w:cs="Times New Roman"/>
          <w:sz w:val="24"/>
          <w:szCs w:val="24"/>
        </w:rPr>
        <w:t xml:space="preserve">reviewed literature between 2010 and 2019. </w:t>
      </w:r>
    </w:p>
    <w:p w14:paraId="0AF51815" w14:textId="77777777" w:rsidR="001A026D" w:rsidRPr="00D41809" w:rsidRDefault="001A026D" w:rsidP="001A026D">
      <w:pPr>
        <w:spacing w:line="480" w:lineRule="auto"/>
        <w:rPr>
          <w:rFonts w:ascii="Times New Roman" w:hAnsi="Times New Roman" w:cs="Times New Roman"/>
          <w:b/>
          <w:bCs/>
          <w:sz w:val="24"/>
          <w:szCs w:val="24"/>
        </w:rPr>
      </w:pPr>
      <w:r w:rsidRPr="00D41809">
        <w:rPr>
          <w:rFonts w:ascii="Times New Roman" w:hAnsi="Times New Roman" w:cs="Times New Roman"/>
          <w:b/>
          <w:bCs/>
          <w:sz w:val="24"/>
          <w:szCs w:val="24"/>
        </w:rPr>
        <w:t>Outcome Evaluation</w:t>
      </w:r>
    </w:p>
    <w:p w14:paraId="77A9826A" w14:textId="5D0A8B8E" w:rsidR="001D55BE" w:rsidRPr="00F60D8C" w:rsidRDefault="001A026D" w:rsidP="00252144">
      <w:pPr>
        <w:spacing w:line="480" w:lineRule="auto"/>
        <w:rPr>
          <w:rFonts w:ascii="Times New Roman" w:hAnsi="Times New Roman" w:cs="Times New Roman"/>
          <w:sz w:val="24"/>
          <w:szCs w:val="24"/>
        </w:rPr>
        <w:sectPr w:rsidR="001D55BE" w:rsidRPr="00F60D8C">
          <w:pgSz w:w="12240" w:h="15840"/>
          <w:pgMar w:top="1440" w:right="1440" w:bottom="1440" w:left="1440" w:header="720" w:footer="720" w:gutter="0"/>
          <w:cols w:space="720"/>
          <w:docGrid w:linePitch="360"/>
        </w:sectPr>
      </w:pPr>
      <w:r>
        <w:rPr>
          <w:rFonts w:ascii="Times New Roman" w:hAnsi="Times New Roman" w:cs="Times New Roman"/>
          <w:sz w:val="24"/>
          <w:szCs w:val="24"/>
        </w:rPr>
        <w:tab/>
        <w:t>Historically,</w:t>
      </w:r>
      <w:r w:rsidRPr="00F60D8C">
        <w:rPr>
          <w:rFonts w:ascii="Times New Roman" w:hAnsi="Times New Roman" w:cs="Times New Roman"/>
          <w:sz w:val="24"/>
          <w:szCs w:val="24"/>
        </w:rPr>
        <w:t xml:space="preserve"> studies classified as ou</w:t>
      </w:r>
      <w:r>
        <w:rPr>
          <w:rFonts w:ascii="Times New Roman" w:hAnsi="Times New Roman" w:cs="Times New Roman"/>
          <w:sz w:val="24"/>
          <w:szCs w:val="24"/>
        </w:rPr>
        <w:t>tcome evaluations have</w:t>
      </w:r>
      <w:r w:rsidRPr="00F60D8C">
        <w:rPr>
          <w:rFonts w:ascii="Times New Roman" w:hAnsi="Times New Roman" w:cs="Times New Roman"/>
          <w:sz w:val="24"/>
          <w:szCs w:val="24"/>
        </w:rPr>
        <w:t xml:space="preserve"> focused on the financial benefits of EAPs with cost-benefit reports and return on investm</w:t>
      </w:r>
      <w:r>
        <w:rPr>
          <w:rFonts w:ascii="Times New Roman" w:hAnsi="Times New Roman" w:cs="Times New Roman"/>
          <w:sz w:val="24"/>
          <w:szCs w:val="24"/>
        </w:rPr>
        <w:t xml:space="preserve">ent analyses (Csiernik, 2011). </w:t>
      </w:r>
      <w:r>
        <w:rPr>
          <w:rFonts w:ascii="Times New Roman" w:hAnsi="Times New Roman" w:cs="Times New Roman"/>
          <w:sz w:val="24"/>
          <w:szCs w:val="24"/>
        </w:rPr>
        <w:lastRenderedPageBreak/>
        <w:t>Among the f</w:t>
      </w:r>
      <w:r w:rsidRPr="00F60D8C">
        <w:rPr>
          <w:rFonts w:ascii="Times New Roman" w:hAnsi="Times New Roman" w:cs="Times New Roman"/>
          <w:sz w:val="24"/>
          <w:szCs w:val="24"/>
        </w:rPr>
        <w:t xml:space="preserve">ifteen outcome evaluations </w:t>
      </w:r>
      <w:r>
        <w:rPr>
          <w:rFonts w:ascii="Times New Roman" w:hAnsi="Times New Roman" w:cs="Times New Roman"/>
          <w:sz w:val="24"/>
          <w:szCs w:val="24"/>
        </w:rPr>
        <w:t xml:space="preserve">that </w:t>
      </w:r>
      <w:r w:rsidRPr="00F60D8C">
        <w:rPr>
          <w:rFonts w:ascii="Times New Roman" w:hAnsi="Times New Roman" w:cs="Times New Roman"/>
          <w:sz w:val="24"/>
          <w:szCs w:val="24"/>
        </w:rPr>
        <w:t xml:space="preserve">were published between 2010 and 2019, </w:t>
      </w:r>
      <w:r>
        <w:rPr>
          <w:rFonts w:ascii="Times New Roman" w:hAnsi="Times New Roman" w:cs="Times New Roman"/>
          <w:sz w:val="24"/>
          <w:szCs w:val="24"/>
        </w:rPr>
        <w:t xml:space="preserve">no study included </w:t>
      </w:r>
      <w:r w:rsidR="006F52BD">
        <w:rPr>
          <w:rFonts w:ascii="Times New Roman" w:hAnsi="Times New Roman" w:cs="Times New Roman"/>
          <w:sz w:val="24"/>
          <w:szCs w:val="24"/>
        </w:rPr>
        <w:t xml:space="preserve">a specific </w:t>
      </w:r>
      <w:r>
        <w:rPr>
          <w:rFonts w:ascii="Times New Roman" w:hAnsi="Times New Roman" w:cs="Times New Roman"/>
          <w:sz w:val="24"/>
          <w:szCs w:val="24"/>
        </w:rPr>
        <w:t xml:space="preserve">evaluation of any direct financial benefits associated with EAP use. Anema </w:t>
      </w:r>
    </w:p>
    <w:p w14:paraId="3CFD23D4" w14:textId="77777777" w:rsidR="004C1639" w:rsidRPr="00F60D8C" w:rsidRDefault="004C1639" w:rsidP="00BB4EFA">
      <w:pPr>
        <w:spacing w:line="240" w:lineRule="auto"/>
        <w:rPr>
          <w:rFonts w:ascii="Times New Roman" w:hAnsi="Times New Roman" w:cs="Times New Roman"/>
          <w:i/>
          <w:sz w:val="24"/>
          <w:szCs w:val="24"/>
        </w:rPr>
      </w:pPr>
      <w:r w:rsidRPr="00F60D8C">
        <w:rPr>
          <w:rFonts w:ascii="Times New Roman" w:hAnsi="Times New Roman" w:cs="Times New Roman"/>
          <w:sz w:val="24"/>
          <w:szCs w:val="24"/>
        </w:rPr>
        <w:lastRenderedPageBreak/>
        <w:t>Table 2</w:t>
      </w:r>
    </w:p>
    <w:p w14:paraId="565457A7" w14:textId="77777777" w:rsidR="00DE3CD4" w:rsidRPr="00F60D8C" w:rsidRDefault="004C1639" w:rsidP="00BB4EFA">
      <w:pPr>
        <w:spacing w:line="240" w:lineRule="auto"/>
        <w:rPr>
          <w:rFonts w:ascii="Times New Roman" w:hAnsi="Times New Roman" w:cs="Times New Roman"/>
          <w:i/>
          <w:sz w:val="24"/>
          <w:szCs w:val="24"/>
        </w:rPr>
      </w:pPr>
      <w:r w:rsidRPr="00F60D8C">
        <w:rPr>
          <w:rFonts w:ascii="Times New Roman" w:hAnsi="Times New Roman" w:cs="Times New Roman"/>
          <w:i/>
          <w:sz w:val="24"/>
          <w:szCs w:val="24"/>
        </w:rPr>
        <w:t>Case Study Summaries</w:t>
      </w:r>
    </w:p>
    <w:tbl>
      <w:tblPr>
        <w:tblStyle w:val="PlainTable2"/>
        <w:tblW w:w="0" w:type="auto"/>
        <w:tblLayout w:type="fixed"/>
        <w:tblLook w:val="0620" w:firstRow="1" w:lastRow="0" w:firstColumn="0" w:lastColumn="0" w:noHBand="1" w:noVBand="1"/>
      </w:tblPr>
      <w:tblGrid>
        <w:gridCol w:w="2070"/>
        <w:gridCol w:w="810"/>
        <w:gridCol w:w="3420"/>
        <w:gridCol w:w="1440"/>
        <w:gridCol w:w="1260"/>
        <w:gridCol w:w="1260"/>
        <w:gridCol w:w="2700"/>
      </w:tblGrid>
      <w:tr w:rsidR="001D55BE" w:rsidRPr="00F60D8C" w14:paraId="50C45935" w14:textId="77777777" w:rsidTr="001D55BE">
        <w:trPr>
          <w:cnfStyle w:val="100000000000" w:firstRow="1" w:lastRow="0" w:firstColumn="0" w:lastColumn="0" w:oddVBand="0" w:evenVBand="0" w:oddHBand="0" w:evenHBand="0" w:firstRowFirstColumn="0" w:firstRowLastColumn="0" w:lastRowFirstColumn="0" w:lastRowLastColumn="0"/>
          <w:trHeight w:val="710"/>
        </w:trPr>
        <w:tc>
          <w:tcPr>
            <w:tcW w:w="2070" w:type="dxa"/>
            <w:noWrap/>
            <w:vAlign w:val="bottom"/>
            <w:hideMark/>
          </w:tcPr>
          <w:p w14:paraId="7CB38120" w14:textId="77777777" w:rsidR="00DE3CD4" w:rsidRPr="009E1FD5" w:rsidRDefault="00DE3CD4" w:rsidP="001D55BE">
            <w:pPr>
              <w:jc w:val="center"/>
              <w:rPr>
                <w:rFonts w:ascii="Times New Roman" w:hAnsi="Times New Roman" w:cs="Times New Roman"/>
                <w:b w:val="0"/>
                <w:sz w:val="20"/>
                <w:szCs w:val="20"/>
                <w:lang w:val="en-US"/>
              </w:rPr>
            </w:pPr>
            <w:r w:rsidRPr="009E1FD5">
              <w:rPr>
                <w:rFonts w:ascii="Times New Roman" w:hAnsi="Times New Roman" w:cs="Times New Roman"/>
                <w:b w:val="0"/>
                <w:sz w:val="20"/>
                <w:szCs w:val="20"/>
              </w:rPr>
              <w:t>Author</w:t>
            </w:r>
          </w:p>
        </w:tc>
        <w:tc>
          <w:tcPr>
            <w:tcW w:w="810" w:type="dxa"/>
            <w:noWrap/>
            <w:vAlign w:val="bottom"/>
            <w:hideMark/>
          </w:tcPr>
          <w:p w14:paraId="0D6D9234" w14:textId="77777777" w:rsidR="00DE3CD4" w:rsidRPr="009E1FD5" w:rsidRDefault="00DE3CD4" w:rsidP="001D55BE">
            <w:pPr>
              <w:jc w:val="center"/>
              <w:rPr>
                <w:rFonts w:ascii="Times New Roman" w:hAnsi="Times New Roman" w:cs="Times New Roman"/>
                <w:b w:val="0"/>
                <w:sz w:val="20"/>
                <w:szCs w:val="20"/>
              </w:rPr>
            </w:pPr>
            <w:r w:rsidRPr="009E1FD5">
              <w:rPr>
                <w:rFonts w:ascii="Times New Roman" w:hAnsi="Times New Roman" w:cs="Times New Roman"/>
                <w:b w:val="0"/>
                <w:sz w:val="20"/>
                <w:szCs w:val="20"/>
              </w:rPr>
              <w:t>Year</w:t>
            </w:r>
          </w:p>
        </w:tc>
        <w:tc>
          <w:tcPr>
            <w:tcW w:w="3420" w:type="dxa"/>
            <w:noWrap/>
            <w:vAlign w:val="bottom"/>
            <w:hideMark/>
          </w:tcPr>
          <w:p w14:paraId="3F8E85D2" w14:textId="77777777" w:rsidR="00DE3CD4" w:rsidRPr="009E1FD5" w:rsidRDefault="00DE3CD4" w:rsidP="001D55BE">
            <w:pPr>
              <w:jc w:val="center"/>
              <w:rPr>
                <w:rFonts w:ascii="Times New Roman" w:hAnsi="Times New Roman" w:cs="Times New Roman"/>
                <w:b w:val="0"/>
                <w:sz w:val="20"/>
                <w:szCs w:val="20"/>
              </w:rPr>
            </w:pPr>
            <w:r w:rsidRPr="009E1FD5">
              <w:rPr>
                <w:rFonts w:ascii="Times New Roman" w:hAnsi="Times New Roman" w:cs="Times New Roman"/>
                <w:b w:val="0"/>
                <w:sz w:val="20"/>
                <w:szCs w:val="20"/>
              </w:rPr>
              <w:t>Workplace</w:t>
            </w:r>
          </w:p>
        </w:tc>
        <w:tc>
          <w:tcPr>
            <w:tcW w:w="1440" w:type="dxa"/>
            <w:noWrap/>
            <w:vAlign w:val="bottom"/>
            <w:hideMark/>
          </w:tcPr>
          <w:p w14:paraId="59B09437" w14:textId="77777777" w:rsidR="00DE3CD4" w:rsidRPr="009E1FD5" w:rsidRDefault="00DE3CD4" w:rsidP="001D55BE">
            <w:pPr>
              <w:jc w:val="center"/>
              <w:rPr>
                <w:rFonts w:ascii="Times New Roman" w:hAnsi="Times New Roman" w:cs="Times New Roman"/>
                <w:b w:val="0"/>
                <w:sz w:val="20"/>
                <w:szCs w:val="20"/>
              </w:rPr>
            </w:pPr>
            <w:r w:rsidRPr="009E1FD5">
              <w:rPr>
                <w:rFonts w:ascii="Times New Roman" w:hAnsi="Times New Roman" w:cs="Times New Roman"/>
                <w:b w:val="0"/>
                <w:sz w:val="20"/>
                <w:szCs w:val="20"/>
              </w:rPr>
              <w:t>Workforce Size</w:t>
            </w:r>
          </w:p>
        </w:tc>
        <w:tc>
          <w:tcPr>
            <w:tcW w:w="1260" w:type="dxa"/>
            <w:noWrap/>
            <w:vAlign w:val="bottom"/>
            <w:hideMark/>
          </w:tcPr>
          <w:p w14:paraId="6632F465" w14:textId="77777777" w:rsidR="00DE3CD4" w:rsidRPr="009E1FD5" w:rsidRDefault="001D55BE" w:rsidP="001D55BE">
            <w:pPr>
              <w:jc w:val="center"/>
              <w:rPr>
                <w:rFonts w:ascii="Times New Roman" w:hAnsi="Times New Roman" w:cs="Times New Roman"/>
                <w:b w:val="0"/>
                <w:sz w:val="20"/>
                <w:szCs w:val="20"/>
              </w:rPr>
            </w:pPr>
            <w:r w:rsidRPr="009E1FD5">
              <w:rPr>
                <w:rFonts w:ascii="Times New Roman" w:hAnsi="Times New Roman" w:cs="Times New Roman"/>
                <w:b w:val="0"/>
                <w:sz w:val="20"/>
                <w:szCs w:val="20"/>
              </w:rPr>
              <w:t>Program Initiated</w:t>
            </w:r>
          </w:p>
        </w:tc>
        <w:tc>
          <w:tcPr>
            <w:tcW w:w="1260" w:type="dxa"/>
            <w:noWrap/>
            <w:vAlign w:val="bottom"/>
            <w:hideMark/>
          </w:tcPr>
          <w:p w14:paraId="4BD6AE8B" w14:textId="77777777" w:rsidR="00DE3CD4" w:rsidRPr="009E1FD5" w:rsidRDefault="00DE3CD4" w:rsidP="001D55BE">
            <w:pPr>
              <w:jc w:val="center"/>
              <w:rPr>
                <w:rFonts w:ascii="Times New Roman" w:hAnsi="Times New Roman" w:cs="Times New Roman"/>
                <w:b w:val="0"/>
                <w:sz w:val="20"/>
                <w:szCs w:val="20"/>
              </w:rPr>
            </w:pPr>
            <w:r w:rsidRPr="009E1FD5">
              <w:rPr>
                <w:rFonts w:ascii="Times New Roman" w:hAnsi="Times New Roman" w:cs="Times New Roman"/>
                <w:b w:val="0"/>
                <w:sz w:val="20"/>
                <w:szCs w:val="20"/>
              </w:rPr>
              <w:t>EAP Delivery</w:t>
            </w:r>
          </w:p>
        </w:tc>
        <w:tc>
          <w:tcPr>
            <w:tcW w:w="2700" w:type="dxa"/>
            <w:noWrap/>
            <w:vAlign w:val="bottom"/>
            <w:hideMark/>
          </w:tcPr>
          <w:p w14:paraId="05F2DAE6" w14:textId="77777777" w:rsidR="00DE3CD4" w:rsidRPr="009E1FD5" w:rsidRDefault="00DE3CD4" w:rsidP="001D55BE">
            <w:pPr>
              <w:jc w:val="center"/>
              <w:rPr>
                <w:rFonts w:ascii="Times New Roman" w:hAnsi="Times New Roman" w:cs="Times New Roman"/>
                <w:b w:val="0"/>
                <w:sz w:val="20"/>
                <w:szCs w:val="20"/>
              </w:rPr>
            </w:pPr>
            <w:r w:rsidRPr="009E1FD5">
              <w:rPr>
                <w:rFonts w:ascii="Times New Roman" w:hAnsi="Times New Roman" w:cs="Times New Roman"/>
                <w:b w:val="0"/>
                <w:sz w:val="20"/>
                <w:szCs w:val="20"/>
              </w:rPr>
              <w:t>Theme</w:t>
            </w:r>
          </w:p>
        </w:tc>
      </w:tr>
      <w:tr w:rsidR="001D55BE" w:rsidRPr="00F60D8C" w14:paraId="1DCAC557" w14:textId="77777777" w:rsidTr="001D55BE">
        <w:trPr>
          <w:trHeight w:val="692"/>
        </w:trPr>
        <w:tc>
          <w:tcPr>
            <w:tcW w:w="2070" w:type="dxa"/>
            <w:hideMark/>
          </w:tcPr>
          <w:p w14:paraId="179F342D" w14:textId="77777777"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Hood &amp; Csiernik</w:t>
            </w:r>
          </w:p>
        </w:tc>
        <w:tc>
          <w:tcPr>
            <w:tcW w:w="810" w:type="dxa"/>
            <w:noWrap/>
            <w:hideMark/>
          </w:tcPr>
          <w:p w14:paraId="51A167BB"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2017</w:t>
            </w:r>
          </w:p>
        </w:tc>
        <w:tc>
          <w:tcPr>
            <w:tcW w:w="3420" w:type="dxa"/>
            <w:hideMark/>
          </w:tcPr>
          <w:p w14:paraId="3815526B" w14:textId="31335EEF"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United Food and Commercial Workers Local 12R24</w:t>
            </w:r>
            <w:r w:rsidR="00F8311C">
              <w:rPr>
                <w:rFonts w:ascii="Times New Roman" w:hAnsi="Times New Roman" w:cs="Times New Roman"/>
                <w:sz w:val="20"/>
                <w:szCs w:val="20"/>
              </w:rPr>
              <w:t>, Ontario, Canada</w:t>
            </w:r>
          </w:p>
        </w:tc>
        <w:tc>
          <w:tcPr>
            <w:tcW w:w="1440" w:type="dxa"/>
            <w:noWrap/>
            <w:hideMark/>
          </w:tcPr>
          <w:p w14:paraId="2507926A"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6500 (est)</w:t>
            </w:r>
          </w:p>
        </w:tc>
        <w:tc>
          <w:tcPr>
            <w:tcW w:w="1260" w:type="dxa"/>
            <w:noWrap/>
            <w:hideMark/>
          </w:tcPr>
          <w:p w14:paraId="2E88A12F" w14:textId="77777777" w:rsidR="00DE3CD4" w:rsidRPr="00F60D8C" w:rsidRDefault="006810B7"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1990s</w:t>
            </w:r>
          </w:p>
        </w:tc>
        <w:tc>
          <w:tcPr>
            <w:tcW w:w="1260" w:type="dxa"/>
            <w:noWrap/>
            <w:hideMark/>
          </w:tcPr>
          <w:p w14:paraId="4A9C5626" w14:textId="77777777" w:rsidR="001D55BE"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Internal/</w:t>
            </w:r>
          </w:p>
          <w:p w14:paraId="6AA1D3FB"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External</w:t>
            </w:r>
          </w:p>
        </w:tc>
        <w:tc>
          <w:tcPr>
            <w:tcW w:w="2700" w:type="dxa"/>
            <w:hideMark/>
          </w:tcPr>
          <w:p w14:paraId="5D4E3EC4" w14:textId="77777777"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 xml:space="preserve">Union </w:t>
            </w:r>
            <w:r w:rsidR="0006659D">
              <w:rPr>
                <w:rFonts w:ascii="Times New Roman" w:hAnsi="Times New Roman" w:cs="Times New Roman"/>
                <w:sz w:val="20"/>
                <w:szCs w:val="20"/>
              </w:rPr>
              <w:t>developed program</w:t>
            </w:r>
          </w:p>
        </w:tc>
      </w:tr>
      <w:tr w:rsidR="001D55BE" w:rsidRPr="00F60D8C" w14:paraId="7A0C995B" w14:textId="77777777" w:rsidTr="001D55BE">
        <w:trPr>
          <w:trHeight w:val="971"/>
        </w:trPr>
        <w:tc>
          <w:tcPr>
            <w:tcW w:w="2070" w:type="dxa"/>
            <w:hideMark/>
          </w:tcPr>
          <w:p w14:paraId="07014FCF" w14:textId="77777777"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Rakepa &amp; Uys</w:t>
            </w:r>
          </w:p>
        </w:tc>
        <w:tc>
          <w:tcPr>
            <w:tcW w:w="810" w:type="dxa"/>
            <w:noWrap/>
            <w:hideMark/>
          </w:tcPr>
          <w:p w14:paraId="585F6A53"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2013</w:t>
            </w:r>
          </w:p>
        </w:tc>
        <w:tc>
          <w:tcPr>
            <w:tcW w:w="3420" w:type="dxa"/>
            <w:hideMark/>
          </w:tcPr>
          <w:p w14:paraId="5F7EDFD9" w14:textId="77777777"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Department of Education, Motheo District, South Africa</w:t>
            </w:r>
          </w:p>
        </w:tc>
        <w:tc>
          <w:tcPr>
            <w:tcW w:w="1440" w:type="dxa"/>
            <w:noWrap/>
            <w:hideMark/>
          </w:tcPr>
          <w:p w14:paraId="215E5EAD" w14:textId="77777777" w:rsidR="00DE3CD4" w:rsidRPr="00F60D8C" w:rsidRDefault="001353FF"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5</w:t>
            </w:r>
            <w:r w:rsidR="00DE3CD4" w:rsidRPr="00F60D8C">
              <w:rPr>
                <w:rFonts w:ascii="Times New Roman" w:hAnsi="Times New Roman" w:cs="Times New Roman"/>
                <w:sz w:val="20"/>
                <w:szCs w:val="20"/>
              </w:rPr>
              <w:t>000</w:t>
            </w:r>
          </w:p>
        </w:tc>
        <w:tc>
          <w:tcPr>
            <w:tcW w:w="1260" w:type="dxa"/>
            <w:noWrap/>
            <w:hideMark/>
          </w:tcPr>
          <w:p w14:paraId="3C62DA54"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2001</w:t>
            </w:r>
          </w:p>
        </w:tc>
        <w:tc>
          <w:tcPr>
            <w:tcW w:w="1260" w:type="dxa"/>
            <w:noWrap/>
            <w:hideMark/>
          </w:tcPr>
          <w:p w14:paraId="375EAD4C"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External</w:t>
            </w:r>
          </w:p>
        </w:tc>
        <w:tc>
          <w:tcPr>
            <w:tcW w:w="2700" w:type="dxa"/>
            <w:hideMark/>
          </w:tcPr>
          <w:p w14:paraId="462AFBD9" w14:textId="77777777"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Employee Assistance Consulting Model/  Program Development</w:t>
            </w:r>
          </w:p>
        </w:tc>
      </w:tr>
      <w:tr w:rsidR="001D55BE" w:rsidRPr="00F60D8C" w14:paraId="2B0A865F" w14:textId="77777777" w:rsidTr="001D55BE">
        <w:trPr>
          <w:trHeight w:val="639"/>
        </w:trPr>
        <w:tc>
          <w:tcPr>
            <w:tcW w:w="2070" w:type="dxa"/>
            <w:hideMark/>
          </w:tcPr>
          <w:p w14:paraId="50643CFB" w14:textId="77777777"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Wang, Lin &amp; Sha</w:t>
            </w:r>
          </w:p>
        </w:tc>
        <w:tc>
          <w:tcPr>
            <w:tcW w:w="810" w:type="dxa"/>
            <w:noWrap/>
            <w:hideMark/>
          </w:tcPr>
          <w:p w14:paraId="30844C04"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2014</w:t>
            </w:r>
          </w:p>
        </w:tc>
        <w:tc>
          <w:tcPr>
            <w:tcW w:w="3420" w:type="dxa"/>
            <w:hideMark/>
          </w:tcPr>
          <w:p w14:paraId="5E64FF55" w14:textId="77777777"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Six Technology companies in Central Taiwan Science Park</w:t>
            </w:r>
          </w:p>
        </w:tc>
        <w:tc>
          <w:tcPr>
            <w:tcW w:w="1440" w:type="dxa"/>
            <w:noWrap/>
            <w:hideMark/>
          </w:tcPr>
          <w:p w14:paraId="63A43D76"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n.r</w:t>
            </w:r>
          </w:p>
        </w:tc>
        <w:tc>
          <w:tcPr>
            <w:tcW w:w="1260" w:type="dxa"/>
            <w:noWrap/>
            <w:hideMark/>
          </w:tcPr>
          <w:p w14:paraId="2ED6D30D"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n.r</w:t>
            </w:r>
          </w:p>
        </w:tc>
        <w:tc>
          <w:tcPr>
            <w:tcW w:w="1260" w:type="dxa"/>
            <w:noWrap/>
            <w:hideMark/>
          </w:tcPr>
          <w:p w14:paraId="026B64E1" w14:textId="77777777" w:rsidR="00DE3CD4" w:rsidRPr="00F60D8C" w:rsidRDefault="00DE3CD4" w:rsidP="001D55BE">
            <w:pPr>
              <w:ind w:left="288" w:hanging="288"/>
              <w:jc w:val="center"/>
              <w:rPr>
                <w:rFonts w:ascii="Times New Roman" w:hAnsi="Times New Roman" w:cs="Times New Roman"/>
                <w:sz w:val="20"/>
                <w:szCs w:val="20"/>
              </w:rPr>
            </w:pPr>
            <w:r w:rsidRPr="00F60D8C">
              <w:rPr>
                <w:rFonts w:ascii="Times New Roman" w:hAnsi="Times New Roman" w:cs="Times New Roman"/>
                <w:sz w:val="20"/>
                <w:szCs w:val="20"/>
              </w:rPr>
              <w:t>External</w:t>
            </w:r>
          </w:p>
        </w:tc>
        <w:tc>
          <w:tcPr>
            <w:tcW w:w="2700" w:type="dxa"/>
            <w:hideMark/>
          </w:tcPr>
          <w:p w14:paraId="6D09C654" w14:textId="77777777" w:rsidR="00DE3CD4" w:rsidRPr="00F60D8C" w:rsidRDefault="00DE3CD4" w:rsidP="001D55BE">
            <w:pPr>
              <w:ind w:left="288" w:hanging="288"/>
              <w:rPr>
                <w:rFonts w:ascii="Times New Roman" w:hAnsi="Times New Roman" w:cs="Times New Roman"/>
                <w:sz w:val="20"/>
                <w:szCs w:val="20"/>
              </w:rPr>
            </w:pPr>
            <w:r w:rsidRPr="00F60D8C">
              <w:rPr>
                <w:rFonts w:ascii="Times New Roman" w:hAnsi="Times New Roman" w:cs="Times New Roman"/>
                <w:sz w:val="20"/>
                <w:szCs w:val="20"/>
              </w:rPr>
              <w:t>Employee Reasons for Seeking Care</w:t>
            </w:r>
          </w:p>
        </w:tc>
      </w:tr>
    </w:tbl>
    <w:p w14:paraId="4DD1ACAC" w14:textId="77777777" w:rsidR="001D55BE" w:rsidRPr="00F60D8C" w:rsidRDefault="001D55BE" w:rsidP="008654D6">
      <w:pPr>
        <w:rPr>
          <w:rFonts w:ascii="Times New Roman" w:hAnsi="Times New Roman" w:cs="Times New Roman"/>
          <w:sz w:val="24"/>
          <w:szCs w:val="24"/>
        </w:rPr>
        <w:sectPr w:rsidR="001D55BE" w:rsidRPr="00F60D8C" w:rsidSect="001D55BE">
          <w:pgSz w:w="15840" w:h="12240" w:orient="landscape"/>
          <w:pgMar w:top="1440" w:right="1440" w:bottom="1440" w:left="1440" w:header="720" w:footer="720" w:gutter="0"/>
          <w:cols w:space="720"/>
          <w:docGrid w:linePitch="360"/>
        </w:sectPr>
      </w:pPr>
    </w:p>
    <w:p w14:paraId="7FDA2B3B" w14:textId="7898A0F2" w:rsidR="00BE181F" w:rsidRDefault="00F7177D" w:rsidP="002521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and Sligar (2010) recommended that future research evaluating the National Institute for the Severely Handicapped Internal EAP that was the focus of their study should include a cost- </w:t>
      </w:r>
      <w:r w:rsidR="006F52BD">
        <w:rPr>
          <w:rFonts w:ascii="Times New Roman" w:hAnsi="Times New Roman" w:cs="Times New Roman"/>
          <w:sz w:val="24"/>
          <w:szCs w:val="24"/>
        </w:rPr>
        <w:t>benefit analysis of the specific EAP, but no such study was found in the literature. Of the fifteen studies classified as outcome evaluations, ten</w:t>
      </w:r>
      <w:r w:rsidR="006F52BD" w:rsidRPr="00F60D8C">
        <w:rPr>
          <w:rFonts w:ascii="Times New Roman" w:hAnsi="Times New Roman" w:cs="Times New Roman"/>
          <w:sz w:val="24"/>
          <w:szCs w:val="24"/>
        </w:rPr>
        <w:t xml:space="preserve"> examined organization</w:t>
      </w:r>
      <w:r w:rsidR="006F52BD">
        <w:rPr>
          <w:rFonts w:ascii="Times New Roman" w:hAnsi="Times New Roman" w:cs="Times New Roman"/>
          <w:sz w:val="24"/>
          <w:szCs w:val="24"/>
        </w:rPr>
        <w:t>s</w:t>
      </w:r>
      <w:r w:rsidR="006F52BD" w:rsidRPr="00F60D8C">
        <w:rPr>
          <w:rFonts w:ascii="Times New Roman" w:hAnsi="Times New Roman" w:cs="Times New Roman"/>
          <w:sz w:val="24"/>
          <w:szCs w:val="24"/>
        </w:rPr>
        <w:t xml:space="preserve"> based within the United States, </w:t>
      </w:r>
      <w:r w:rsidR="006F52BD">
        <w:rPr>
          <w:rFonts w:ascii="Times New Roman" w:hAnsi="Times New Roman" w:cs="Times New Roman"/>
          <w:sz w:val="24"/>
          <w:szCs w:val="24"/>
        </w:rPr>
        <w:t xml:space="preserve"> </w:t>
      </w:r>
      <w:r w:rsidR="0006659D">
        <w:rPr>
          <w:rFonts w:ascii="Times New Roman" w:hAnsi="Times New Roman" w:cs="Times New Roman"/>
          <w:sz w:val="24"/>
          <w:szCs w:val="24"/>
        </w:rPr>
        <w:t xml:space="preserve">though one program accounted for three different studies, </w:t>
      </w:r>
      <w:r w:rsidR="0006659D" w:rsidRPr="00F60D8C">
        <w:rPr>
          <w:rFonts w:ascii="Times New Roman" w:hAnsi="Times New Roman" w:cs="Times New Roman"/>
          <w:sz w:val="24"/>
          <w:szCs w:val="24"/>
        </w:rPr>
        <w:t xml:space="preserve">one </w:t>
      </w:r>
      <w:r w:rsidR="0006659D">
        <w:rPr>
          <w:rFonts w:ascii="Times New Roman" w:hAnsi="Times New Roman" w:cs="Times New Roman"/>
          <w:sz w:val="24"/>
          <w:szCs w:val="24"/>
        </w:rPr>
        <w:t xml:space="preserve">was </w:t>
      </w:r>
      <w:r w:rsidR="0006659D" w:rsidRPr="00F60D8C">
        <w:rPr>
          <w:rFonts w:ascii="Times New Roman" w:hAnsi="Times New Roman" w:cs="Times New Roman"/>
          <w:sz w:val="24"/>
          <w:szCs w:val="24"/>
        </w:rPr>
        <w:t>from each of Canada, China, Russia, and the United Kingdom</w:t>
      </w:r>
      <w:r w:rsidR="00252144" w:rsidRPr="00F60D8C">
        <w:rPr>
          <w:rFonts w:ascii="Times New Roman" w:hAnsi="Times New Roman" w:cs="Times New Roman"/>
          <w:sz w:val="24"/>
          <w:szCs w:val="24"/>
        </w:rPr>
        <w:t>, while one evaluation did not clearly identify where the evaluated orga</w:t>
      </w:r>
      <w:r w:rsidR="00252144">
        <w:rPr>
          <w:rFonts w:ascii="Times New Roman" w:hAnsi="Times New Roman" w:cs="Times New Roman"/>
          <w:sz w:val="24"/>
          <w:szCs w:val="24"/>
        </w:rPr>
        <w:t>nization was based (Table 3).</w:t>
      </w:r>
      <w:r w:rsidR="00252144" w:rsidRPr="00F60D8C">
        <w:rPr>
          <w:rFonts w:ascii="Times New Roman" w:hAnsi="Times New Roman" w:cs="Times New Roman"/>
          <w:sz w:val="24"/>
          <w:szCs w:val="24"/>
        </w:rPr>
        <w:t xml:space="preserve"> Seven of these studies</w:t>
      </w:r>
      <w:r w:rsidR="00252144" w:rsidRPr="00252144">
        <w:rPr>
          <w:rFonts w:ascii="Times New Roman" w:hAnsi="Times New Roman" w:cs="Times New Roman"/>
          <w:sz w:val="24"/>
          <w:szCs w:val="24"/>
        </w:rPr>
        <w:t xml:space="preserve"> </w:t>
      </w:r>
      <w:r w:rsidR="00252144" w:rsidRPr="00F60D8C">
        <w:rPr>
          <w:rFonts w:ascii="Times New Roman" w:hAnsi="Times New Roman" w:cs="Times New Roman"/>
          <w:sz w:val="24"/>
          <w:szCs w:val="24"/>
        </w:rPr>
        <w:t>reported</w:t>
      </w:r>
      <w:r w:rsidR="00252144">
        <w:rPr>
          <w:rFonts w:ascii="Times New Roman" w:hAnsi="Times New Roman" w:cs="Times New Roman"/>
          <w:sz w:val="24"/>
          <w:szCs w:val="24"/>
        </w:rPr>
        <w:t xml:space="preserve"> </w:t>
      </w:r>
      <w:r w:rsidR="00252144" w:rsidRPr="00F60D8C">
        <w:rPr>
          <w:rFonts w:ascii="Times New Roman" w:hAnsi="Times New Roman" w:cs="Times New Roman"/>
          <w:sz w:val="24"/>
          <w:szCs w:val="24"/>
        </w:rPr>
        <w:t>on internal EAPs, five on external EAPs, two evaluated internal/external hybrid progra</w:t>
      </w:r>
      <w:r w:rsidR="00252144">
        <w:rPr>
          <w:rFonts w:ascii="Times New Roman" w:hAnsi="Times New Roman" w:cs="Times New Roman"/>
          <w:sz w:val="24"/>
          <w:szCs w:val="24"/>
        </w:rPr>
        <w:t>ms, and one study did not describe</w:t>
      </w:r>
      <w:r w:rsidR="00252144" w:rsidRPr="00F60D8C">
        <w:rPr>
          <w:rFonts w:ascii="Times New Roman" w:hAnsi="Times New Roman" w:cs="Times New Roman"/>
          <w:sz w:val="24"/>
          <w:szCs w:val="24"/>
        </w:rPr>
        <w:t xml:space="preserve"> the type of EAP utilized by the organization. The size of the workforces supported by the evaluated EAPs were also diverse. Though </w:t>
      </w:r>
      <w:r w:rsidR="0006659D">
        <w:rPr>
          <w:rFonts w:ascii="Times New Roman" w:hAnsi="Times New Roman" w:cs="Times New Roman"/>
          <w:sz w:val="24"/>
          <w:szCs w:val="24"/>
        </w:rPr>
        <w:t>nine</w:t>
      </w:r>
      <w:r w:rsidR="00252144" w:rsidRPr="00F60D8C">
        <w:rPr>
          <w:rFonts w:ascii="Times New Roman" w:hAnsi="Times New Roman" w:cs="Times New Roman"/>
          <w:sz w:val="24"/>
          <w:szCs w:val="24"/>
        </w:rPr>
        <w:t xml:space="preserve"> of the included studies did not report the workforce size, the reported populations ranged in size from 218 to over 986,000</w:t>
      </w:r>
      <w:r w:rsidR="006F52BD">
        <w:rPr>
          <w:rFonts w:ascii="Times New Roman" w:hAnsi="Times New Roman" w:cs="Times New Roman"/>
          <w:sz w:val="24"/>
          <w:szCs w:val="24"/>
        </w:rPr>
        <w:t xml:space="preserve"> with </w:t>
      </w:r>
      <w:r w:rsidR="00252144" w:rsidRPr="00F60D8C">
        <w:rPr>
          <w:rFonts w:ascii="Times New Roman" w:hAnsi="Times New Roman" w:cs="Times New Roman"/>
          <w:sz w:val="24"/>
          <w:szCs w:val="24"/>
        </w:rPr>
        <w:t>an average of 179,000, median and mode of 28,000</w:t>
      </w:r>
      <w:r w:rsidR="00252144">
        <w:rPr>
          <w:rFonts w:ascii="Times New Roman" w:hAnsi="Times New Roman" w:cs="Times New Roman"/>
          <w:sz w:val="24"/>
          <w:szCs w:val="24"/>
        </w:rPr>
        <w:t xml:space="preserve"> </w:t>
      </w:r>
      <w:r w:rsidR="006F52BD">
        <w:rPr>
          <w:rFonts w:ascii="Times New Roman" w:hAnsi="Times New Roman" w:cs="Times New Roman"/>
          <w:sz w:val="24"/>
          <w:szCs w:val="24"/>
        </w:rPr>
        <w:t xml:space="preserve">employees </w:t>
      </w:r>
      <w:r w:rsidR="00252144">
        <w:rPr>
          <w:rFonts w:ascii="Times New Roman" w:hAnsi="Times New Roman" w:cs="Times New Roman"/>
          <w:sz w:val="24"/>
          <w:szCs w:val="24"/>
        </w:rPr>
        <w:t>across the six studies that reported workforce data</w:t>
      </w:r>
      <w:r w:rsidR="00252144" w:rsidRPr="00F60D8C">
        <w:rPr>
          <w:rFonts w:ascii="Times New Roman" w:hAnsi="Times New Roman" w:cs="Times New Roman"/>
          <w:sz w:val="24"/>
          <w:szCs w:val="24"/>
        </w:rPr>
        <w:t xml:space="preserve">. </w:t>
      </w:r>
    </w:p>
    <w:p w14:paraId="6FB97416" w14:textId="41FB8889" w:rsidR="00252144" w:rsidRPr="00F60D8C" w:rsidRDefault="00252144" w:rsidP="00BE181F">
      <w:pPr>
        <w:spacing w:line="480" w:lineRule="auto"/>
        <w:ind w:firstLine="720"/>
        <w:rPr>
          <w:rFonts w:ascii="Times New Roman" w:hAnsi="Times New Roman" w:cs="Times New Roman"/>
          <w:sz w:val="24"/>
          <w:szCs w:val="24"/>
        </w:rPr>
      </w:pPr>
      <w:r w:rsidRPr="00F60D8C">
        <w:rPr>
          <w:rFonts w:ascii="Times New Roman" w:hAnsi="Times New Roman" w:cs="Times New Roman"/>
          <w:sz w:val="24"/>
          <w:szCs w:val="24"/>
        </w:rPr>
        <w:t xml:space="preserve">The methods most frequently used </w:t>
      </w:r>
      <w:r w:rsidR="006F52BD">
        <w:rPr>
          <w:rFonts w:ascii="Times New Roman" w:hAnsi="Times New Roman" w:cs="Times New Roman"/>
          <w:sz w:val="24"/>
          <w:szCs w:val="24"/>
        </w:rPr>
        <w:t xml:space="preserve">in the outcome studies </w:t>
      </w:r>
      <w:r w:rsidRPr="00F60D8C">
        <w:rPr>
          <w:rFonts w:ascii="Times New Roman" w:hAnsi="Times New Roman" w:cs="Times New Roman"/>
          <w:sz w:val="24"/>
          <w:szCs w:val="24"/>
        </w:rPr>
        <w:t xml:space="preserve">were </w:t>
      </w:r>
      <w:bookmarkStart w:id="1" w:name="_Hlk57758008"/>
      <w:r w:rsidR="0075576A">
        <w:rPr>
          <w:rFonts w:ascii="Times New Roman" w:hAnsi="Times New Roman" w:cs="Times New Roman"/>
          <w:sz w:val="24"/>
          <w:szCs w:val="24"/>
        </w:rPr>
        <w:t>s</w:t>
      </w:r>
      <w:r w:rsidRPr="00F60D8C">
        <w:rPr>
          <w:rFonts w:ascii="Times New Roman" w:hAnsi="Times New Roman" w:cs="Times New Roman"/>
          <w:sz w:val="24"/>
          <w:szCs w:val="24"/>
        </w:rPr>
        <w:t>ingle group pre-post test analysis (n=4) and quasi-experimental pre-post test with control group (n=4). Retrospective document and chart reviews were also used.</w:t>
      </w:r>
      <w:bookmarkEnd w:id="1"/>
      <w:r w:rsidRPr="00F60D8C">
        <w:rPr>
          <w:rFonts w:ascii="Times New Roman" w:hAnsi="Times New Roman" w:cs="Times New Roman"/>
          <w:sz w:val="24"/>
          <w:szCs w:val="24"/>
        </w:rPr>
        <w:t xml:space="preserve"> Information regarding timeframe for study completion was not consistently described across the various studies. Three studies described a 90 day follow up period between pre and post test, three studies described a </w:t>
      </w:r>
      <w:r w:rsidR="006F52BD">
        <w:rPr>
          <w:rFonts w:ascii="Times New Roman" w:hAnsi="Times New Roman" w:cs="Times New Roman"/>
          <w:sz w:val="24"/>
          <w:szCs w:val="24"/>
        </w:rPr>
        <w:t>ten</w:t>
      </w:r>
      <w:r w:rsidRPr="00F60D8C">
        <w:rPr>
          <w:rFonts w:ascii="Times New Roman" w:hAnsi="Times New Roman" w:cs="Times New Roman"/>
          <w:sz w:val="24"/>
          <w:szCs w:val="24"/>
        </w:rPr>
        <w:t xml:space="preserve"> month recruitment/study time frame, two studies included case studies closed in a fifteen month period, while one included cases closed in a single year. Other retrospective studies examined data from </w:t>
      </w:r>
      <w:r w:rsidR="006F52BD">
        <w:rPr>
          <w:rFonts w:ascii="Times New Roman" w:hAnsi="Times New Roman" w:cs="Times New Roman"/>
          <w:sz w:val="24"/>
          <w:szCs w:val="24"/>
        </w:rPr>
        <w:t xml:space="preserve">two </w:t>
      </w:r>
      <w:r w:rsidRPr="00F60D8C">
        <w:rPr>
          <w:rFonts w:ascii="Times New Roman" w:hAnsi="Times New Roman" w:cs="Times New Roman"/>
          <w:sz w:val="24"/>
          <w:szCs w:val="24"/>
        </w:rPr>
        <w:t xml:space="preserve">up to </w:t>
      </w:r>
      <w:r w:rsidR="006F52BD">
        <w:rPr>
          <w:rFonts w:ascii="Times New Roman" w:hAnsi="Times New Roman" w:cs="Times New Roman"/>
          <w:sz w:val="24"/>
          <w:szCs w:val="24"/>
        </w:rPr>
        <w:t>ten</w:t>
      </w:r>
      <w:r w:rsidRPr="00F60D8C">
        <w:rPr>
          <w:rFonts w:ascii="Times New Roman" w:hAnsi="Times New Roman" w:cs="Times New Roman"/>
          <w:sz w:val="24"/>
          <w:szCs w:val="24"/>
        </w:rPr>
        <w:t xml:space="preserve"> </w:t>
      </w:r>
      <w:r>
        <w:rPr>
          <w:rFonts w:ascii="Times New Roman" w:hAnsi="Times New Roman" w:cs="Times New Roman"/>
          <w:sz w:val="24"/>
          <w:szCs w:val="24"/>
        </w:rPr>
        <w:t>years, o</w:t>
      </w:r>
      <w:r w:rsidRPr="00F60D8C">
        <w:rPr>
          <w:rFonts w:ascii="Times New Roman" w:hAnsi="Times New Roman" w:cs="Times New Roman"/>
          <w:sz w:val="24"/>
          <w:szCs w:val="24"/>
        </w:rPr>
        <w:t xml:space="preserve">ne study was described solely as retrospective, and one did not include a complete timeframe for the study. </w:t>
      </w:r>
    </w:p>
    <w:p w14:paraId="38A7615C" w14:textId="5B6D9705" w:rsidR="00B00851" w:rsidRPr="00B00851" w:rsidRDefault="00252144" w:rsidP="00252144">
      <w:pPr>
        <w:spacing w:line="480" w:lineRule="auto"/>
        <w:rPr>
          <w:rFonts w:ascii="Times New Roman" w:hAnsi="Times New Roman" w:cs="Times New Roman"/>
          <w:sz w:val="24"/>
          <w:szCs w:val="24"/>
        </w:rPr>
        <w:sectPr w:rsidR="00B00851" w:rsidRPr="00B00851">
          <w:pgSz w:w="12240" w:h="15840"/>
          <w:pgMar w:top="1440" w:right="1440" w:bottom="1440" w:left="1440" w:header="720" w:footer="720" w:gutter="0"/>
          <w:cols w:space="720"/>
          <w:docGrid w:linePitch="360"/>
        </w:sectPr>
      </w:pPr>
      <w:r>
        <w:rPr>
          <w:rFonts w:ascii="Times New Roman" w:hAnsi="Times New Roman" w:cs="Times New Roman"/>
          <w:sz w:val="24"/>
          <w:szCs w:val="24"/>
        </w:rPr>
        <w:tab/>
      </w:r>
      <w:bookmarkStart w:id="2" w:name="_Hlk57758106"/>
      <w:r w:rsidRPr="00F60D8C">
        <w:rPr>
          <w:rFonts w:ascii="Times New Roman" w:hAnsi="Times New Roman" w:cs="Times New Roman"/>
          <w:sz w:val="24"/>
          <w:szCs w:val="24"/>
        </w:rPr>
        <w:t xml:space="preserve"> </w:t>
      </w:r>
      <w:bookmarkEnd w:id="2"/>
    </w:p>
    <w:tbl>
      <w:tblPr>
        <w:tblpPr w:leftFromText="180" w:rightFromText="180" w:vertAnchor="text" w:horzAnchor="margin" w:tblpY="989"/>
        <w:tblOverlap w:val="never"/>
        <w:tblW w:w="13050" w:type="dxa"/>
        <w:tblCellMar>
          <w:left w:w="72" w:type="dxa"/>
          <w:right w:w="72" w:type="dxa"/>
        </w:tblCellMar>
        <w:tblLook w:val="04A0" w:firstRow="1" w:lastRow="0" w:firstColumn="1" w:lastColumn="0" w:noHBand="0" w:noVBand="1"/>
      </w:tblPr>
      <w:tblGrid>
        <w:gridCol w:w="1440"/>
        <w:gridCol w:w="2790"/>
        <w:gridCol w:w="2970"/>
        <w:gridCol w:w="2790"/>
        <w:gridCol w:w="3060"/>
      </w:tblGrid>
      <w:tr w:rsidR="00505624" w:rsidRPr="00F60D8C" w14:paraId="77AF0144" w14:textId="77777777" w:rsidTr="00526100">
        <w:trPr>
          <w:trHeight w:val="540"/>
        </w:trPr>
        <w:tc>
          <w:tcPr>
            <w:tcW w:w="1440" w:type="dxa"/>
            <w:tcBorders>
              <w:top w:val="single" w:sz="4" w:space="0" w:color="auto"/>
              <w:left w:val="nil"/>
              <w:bottom w:val="nil"/>
              <w:right w:val="nil"/>
            </w:tcBorders>
            <w:shd w:val="clear" w:color="auto" w:fill="auto"/>
            <w:vAlign w:val="bottom"/>
            <w:hideMark/>
          </w:tcPr>
          <w:p w14:paraId="084ED985" w14:textId="77777777" w:rsidR="00505624" w:rsidRPr="00E969CC" w:rsidRDefault="00505624" w:rsidP="00A34A25">
            <w:pPr>
              <w:spacing w:after="0" w:line="240" w:lineRule="auto"/>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lastRenderedPageBreak/>
              <w:t>Author</w:t>
            </w:r>
          </w:p>
        </w:tc>
        <w:tc>
          <w:tcPr>
            <w:tcW w:w="2790" w:type="dxa"/>
            <w:tcBorders>
              <w:top w:val="single" w:sz="4" w:space="0" w:color="auto"/>
              <w:left w:val="nil"/>
              <w:bottom w:val="nil"/>
              <w:right w:val="nil"/>
            </w:tcBorders>
            <w:shd w:val="clear" w:color="auto" w:fill="auto"/>
            <w:vAlign w:val="bottom"/>
            <w:hideMark/>
          </w:tcPr>
          <w:p w14:paraId="53FB87A6" w14:textId="77777777" w:rsidR="00505624" w:rsidRPr="00E969CC" w:rsidRDefault="00505624" w:rsidP="00A34A25">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Anema &amp; Sligar</w:t>
            </w:r>
          </w:p>
        </w:tc>
        <w:tc>
          <w:tcPr>
            <w:tcW w:w="2970" w:type="dxa"/>
            <w:tcBorders>
              <w:top w:val="single" w:sz="4" w:space="0" w:color="auto"/>
              <w:left w:val="nil"/>
              <w:bottom w:val="nil"/>
              <w:right w:val="nil"/>
            </w:tcBorders>
            <w:shd w:val="clear" w:color="auto" w:fill="auto"/>
            <w:vAlign w:val="bottom"/>
            <w:hideMark/>
          </w:tcPr>
          <w:p w14:paraId="738FDE51" w14:textId="77777777" w:rsidR="00505624" w:rsidRPr="00E969CC" w:rsidRDefault="00505624" w:rsidP="00A34A25">
            <w:pPr>
              <w:spacing w:after="0" w:line="240" w:lineRule="auto"/>
              <w:jc w:val="center"/>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Burgess, Lennox, Sharar, </w:t>
            </w:r>
            <w:r w:rsidRPr="00F60D8C">
              <w:rPr>
                <w:rFonts w:ascii="Times New Roman" w:eastAsia="Times New Roman" w:hAnsi="Times New Roman" w:cs="Times New Roman"/>
                <w:color w:val="000000"/>
                <w:sz w:val="20"/>
                <w:szCs w:val="20"/>
                <w:lang w:val="en-US"/>
              </w:rPr>
              <w:t xml:space="preserve">&amp; </w:t>
            </w:r>
            <w:r w:rsidRPr="00E969CC">
              <w:rPr>
                <w:rFonts w:ascii="Times New Roman" w:eastAsia="Times New Roman" w:hAnsi="Times New Roman" w:cs="Times New Roman"/>
                <w:color w:val="000000"/>
                <w:sz w:val="20"/>
                <w:szCs w:val="20"/>
                <w:lang w:val="en-US"/>
              </w:rPr>
              <w:t>Shtoulman</w:t>
            </w:r>
          </w:p>
        </w:tc>
        <w:tc>
          <w:tcPr>
            <w:tcW w:w="2790" w:type="dxa"/>
            <w:tcBorders>
              <w:top w:val="single" w:sz="4" w:space="0" w:color="auto"/>
              <w:left w:val="nil"/>
              <w:bottom w:val="nil"/>
              <w:right w:val="nil"/>
            </w:tcBorders>
            <w:shd w:val="clear" w:color="auto" w:fill="auto"/>
            <w:vAlign w:val="bottom"/>
            <w:hideMark/>
          </w:tcPr>
          <w:p w14:paraId="7150C2A8" w14:textId="77777777" w:rsidR="00505624" w:rsidRPr="00E969CC" w:rsidRDefault="00505624" w:rsidP="00A34A25">
            <w:pPr>
              <w:spacing w:after="0" w:line="240" w:lineRule="auto"/>
              <w:jc w:val="center"/>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Clavelle, Dickerson, </w:t>
            </w:r>
            <w:r w:rsidRPr="00F60D8C">
              <w:rPr>
                <w:rFonts w:ascii="Times New Roman" w:eastAsia="Times New Roman" w:hAnsi="Times New Roman" w:cs="Times New Roman"/>
                <w:color w:val="000000"/>
                <w:sz w:val="20"/>
                <w:szCs w:val="20"/>
                <w:lang w:val="en-US"/>
              </w:rPr>
              <w:t xml:space="preserve">&amp; </w:t>
            </w:r>
            <w:r w:rsidRPr="00E969CC">
              <w:rPr>
                <w:rFonts w:ascii="Times New Roman" w:eastAsia="Times New Roman" w:hAnsi="Times New Roman" w:cs="Times New Roman"/>
                <w:color w:val="000000"/>
                <w:sz w:val="20"/>
                <w:szCs w:val="20"/>
                <w:lang w:val="en-US"/>
              </w:rPr>
              <w:t>Murphy</w:t>
            </w:r>
          </w:p>
        </w:tc>
        <w:tc>
          <w:tcPr>
            <w:tcW w:w="3060" w:type="dxa"/>
            <w:tcBorders>
              <w:top w:val="single" w:sz="4" w:space="0" w:color="auto"/>
              <w:left w:val="nil"/>
              <w:bottom w:val="nil"/>
              <w:right w:val="nil"/>
            </w:tcBorders>
            <w:shd w:val="clear" w:color="auto" w:fill="auto"/>
            <w:vAlign w:val="bottom"/>
            <w:hideMark/>
          </w:tcPr>
          <w:p w14:paraId="4248A356" w14:textId="77777777" w:rsidR="00505624" w:rsidRPr="00E969CC" w:rsidRDefault="00505624" w:rsidP="00A34A25">
            <w:pPr>
              <w:spacing w:after="0" w:line="240" w:lineRule="auto"/>
              <w:jc w:val="center"/>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Dickerson, Murphy, </w:t>
            </w:r>
            <w:r w:rsidRPr="00F60D8C">
              <w:rPr>
                <w:rFonts w:ascii="Times New Roman" w:eastAsia="Times New Roman" w:hAnsi="Times New Roman" w:cs="Times New Roman"/>
                <w:color w:val="000000"/>
                <w:sz w:val="20"/>
                <w:szCs w:val="20"/>
                <w:lang w:val="en-US"/>
              </w:rPr>
              <w:t xml:space="preserve">&amp; </w:t>
            </w:r>
            <w:r w:rsidRPr="00E969CC">
              <w:rPr>
                <w:rFonts w:ascii="Times New Roman" w:eastAsia="Times New Roman" w:hAnsi="Times New Roman" w:cs="Times New Roman"/>
                <w:color w:val="000000"/>
                <w:sz w:val="20"/>
                <w:szCs w:val="20"/>
                <w:lang w:val="en-US"/>
              </w:rPr>
              <w:t>Clavelle</w:t>
            </w:r>
          </w:p>
        </w:tc>
      </w:tr>
      <w:tr w:rsidR="00505624" w:rsidRPr="00F60D8C" w14:paraId="38A8B838" w14:textId="77777777" w:rsidTr="00526100">
        <w:trPr>
          <w:trHeight w:val="360"/>
        </w:trPr>
        <w:tc>
          <w:tcPr>
            <w:tcW w:w="1440" w:type="dxa"/>
            <w:tcBorders>
              <w:top w:val="nil"/>
              <w:left w:val="nil"/>
              <w:bottom w:val="single" w:sz="4" w:space="0" w:color="auto"/>
              <w:right w:val="nil"/>
            </w:tcBorders>
            <w:shd w:val="clear" w:color="auto" w:fill="auto"/>
          </w:tcPr>
          <w:p w14:paraId="0FD0848B" w14:textId="77777777" w:rsidR="00505624" w:rsidRPr="00F60D8C" w:rsidRDefault="00505624" w:rsidP="00A34A25">
            <w:pPr>
              <w:spacing w:after="0" w:line="240" w:lineRule="auto"/>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Year</w:t>
            </w:r>
          </w:p>
        </w:tc>
        <w:tc>
          <w:tcPr>
            <w:tcW w:w="2790" w:type="dxa"/>
            <w:tcBorders>
              <w:top w:val="nil"/>
              <w:left w:val="nil"/>
              <w:bottom w:val="single" w:sz="4" w:space="0" w:color="auto"/>
              <w:right w:val="nil"/>
            </w:tcBorders>
            <w:shd w:val="clear" w:color="auto" w:fill="auto"/>
          </w:tcPr>
          <w:p w14:paraId="4D797F45" w14:textId="77777777" w:rsidR="00505624" w:rsidRPr="00F60D8C" w:rsidRDefault="00505624" w:rsidP="00A34A25">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2010</w:t>
            </w:r>
          </w:p>
        </w:tc>
        <w:tc>
          <w:tcPr>
            <w:tcW w:w="2970" w:type="dxa"/>
            <w:tcBorders>
              <w:top w:val="nil"/>
              <w:left w:val="nil"/>
              <w:bottom w:val="single" w:sz="4" w:space="0" w:color="auto"/>
              <w:right w:val="nil"/>
            </w:tcBorders>
            <w:shd w:val="clear" w:color="auto" w:fill="auto"/>
          </w:tcPr>
          <w:p w14:paraId="49144B70" w14:textId="77777777" w:rsidR="00505624" w:rsidRPr="00F60D8C" w:rsidRDefault="00505624" w:rsidP="00A34A25">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2015</w:t>
            </w:r>
          </w:p>
        </w:tc>
        <w:tc>
          <w:tcPr>
            <w:tcW w:w="2790" w:type="dxa"/>
            <w:tcBorders>
              <w:top w:val="nil"/>
              <w:left w:val="nil"/>
              <w:bottom w:val="single" w:sz="4" w:space="0" w:color="auto"/>
              <w:right w:val="nil"/>
            </w:tcBorders>
            <w:shd w:val="clear" w:color="auto" w:fill="auto"/>
          </w:tcPr>
          <w:p w14:paraId="2A9EEB92" w14:textId="77777777" w:rsidR="00505624" w:rsidRPr="00F60D8C" w:rsidRDefault="00505624" w:rsidP="00A34A25">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2012</w:t>
            </w:r>
          </w:p>
        </w:tc>
        <w:tc>
          <w:tcPr>
            <w:tcW w:w="3060" w:type="dxa"/>
            <w:tcBorders>
              <w:top w:val="nil"/>
              <w:left w:val="nil"/>
              <w:bottom w:val="single" w:sz="4" w:space="0" w:color="auto"/>
              <w:right w:val="nil"/>
            </w:tcBorders>
            <w:shd w:val="clear" w:color="auto" w:fill="auto"/>
          </w:tcPr>
          <w:p w14:paraId="2DBFF863" w14:textId="77777777" w:rsidR="00505624" w:rsidRPr="00F60D8C" w:rsidRDefault="00505624" w:rsidP="00A34A25">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2012</w:t>
            </w:r>
          </w:p>
        </w:tc>
      </w:tr>
      <w:tr w:rsidR="00505624" w:rsidRPr="00F60D8C" w14:paraId="4BD2AB1B" w14:textId="77777777" w:rsidTr="00526100">
        <w:trPr>
          <w:trHeight w:val="350"/>
        </w:trPr>
        <w:tc>
          <w:tcPr>
            <w:tcW w:w="1440" w:type="dxa"/>
            <w:tcBorders>
              <w:top w:val="single" w:sz="4" w:space="0" w:color="auto"/>
              <w:left w:val="nil"/>
              <w:bottom w:val="nil"/>
              <w:right w:val="nil"/>
            </w:tcBorders>
            <w:shd w:val="clear" w:color="auto" w:fill="auto"/>
            <w:noWrap/>
            <w:hideMark/>
          </w:tcPr>
          <w:p w14:paraId="3BB01668" w14:textId="77777777" w:rsidR="00505624" w:rsidRPr="00E969CC" w:rsidRDefault="00505624" w:rsidP="00A34A2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Workplace</w:t>
            </w:r>
          </w:p>
        </w:tc>
        <w:tc>
          <w:tcPr>
            <w:tcW w:w="2790" w:type="dxa"/>
            <w:tcBorders>
              <w:top w:val="single" w:sz="4" w:space="0" w:color="auto"/>
              <w:left w:val="nil"/>
              <w:bottom w:val="nil"/>
              <w:right w:val="nil"/>
            </w:tcBorders>
            <w:shd w:val="clear" w:color="auto" w:fill="auto"/>
            <w:hideMark/>
          </w:tcPr>
          <w:p w14:paraId="6D587A5B"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C</w:t>
            </w:r>
            <w:r w:rsidRPr="00E969CC">
              <w:rPr>
                <w:rFonts w:ascii="Times New Roman" w:eastAsia="Times New Roman" w:hAnsi="Times New Roman" w:cs="Times New Roman"/>
                <w:color w:val="000000"/>
                <w:sz w:val="20"/>
                <w:szCs w:val="20"/>
                <w:lang w:val="en-US"/>
              </w:rPr>
              <w:t xml:space="preserve">ompany within NISH </w:t>
            </w:r>
          </w:p>
        </w:tc>
        <w:tc>
          <w:tcPr>
            <w:tcW w:w="2970" w:type="dxa"/>
            <w:tcBorders>
              <w:top w:val="single" w:sz="4" w:space="0" w:color="auto"/>
              <w:left w:val="nil"/>
              <w:bottom w:val="nil"/>
              <w:right w:val="nil"/>
            </w:tcBorders>
            <w:shd w:val="clear" w:color="auto" w:fill="auto"/>
            <w:hideMark/>
          </w:tcPr>
          <w:p w14:paraId="765AE872"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Russian Manufacturing Worksite</w:t>
            </w:r>
          </w:p>
        </w:tc>
        <w:tc>
          <w:tcPr>
            <w:tcW w:w="2790" w:type="dxa"/>
            <w:tcBorders>
              <w:top w:val="single" w:sz="4" w:space="0" w:color="auto"/>
              <w:left w:val="nil"/>
              <w:bottom w:val="nil"/>
              <w:right w:val="nil"/>
            </w:tcBorders>
            <w:shd w:val="clear" w:color="auto" w:fill="auto"/>
            <w:hideMark/>
          </w:tcPr>
          <w:p w14:paraId="18945321"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U.S Department of Defense</w:t>
            </w:r>
          </w:p>
        </w:tc>
        <w:tc>
          <w:tcPr>
            <w:tcW w:w="3060" w:type="dxa"/>
            <w:tcBorders>
              <w:top w:val="single" w:sz="4" w:space="0" w:color="auto"/>
              <w:left w:val="nil"/>
              <w:bottom w:val="nil"/>
              <w:right w:val="nil"/>
            </w:tcBorders>
            <w:shd w:val="clear" w:color="auto" w:fill="auto"/>
            <w:hideMark/>
          </w:tcPr>
          <w:p w14:paraId="0D45DA41"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U.S Department of Defense</w:t>
            </w:r>
          </w:p>
        </w:tc>
      </w:tr>
      <w:tr w:rsidR="00505624" w:rsidRPr="00F60D8C" w14:paraId="3886F605" w14:textId="77777777" w:rsidTr="00526100">
        <w:trPr>
          <w:trHeight w:val="540"/>
        </w:trPr>
        <w:tc>
          <w:tcPr>
            <w:tcW w:w="1440" w:type="dxa"/>
            <w:tcBorders>
              <w:top w:val="nil"/>
              <w:left w:val="nil"/>
              <w:bottom w:val="nil"/>
              <w:right w:val="nil"/>
            </w:tcBorders>
            <w:shd w:val="clear" w:color="auto" w:fill="auto"/>
            <w:hideMark/>
          </w:tcPr>
          <w:p w14:paraId="6BFB0D30" w14:textId="77777777" w:rsidR="00505624" w:rsidRPr="00E969CC" w:rsidRDefault="00505624" w:rsidP="00A34A2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Workforce Size</w:t>
            </w:r>
          </w:p>
        </w:tc>
        <w:tc>
          <w:tcPr>
            <w:tcW w:w="2790" w:type="dxa"/>
            <w:tcBorders>
              <w:top w:val="nil"/>
              <w:left w:val="nil"/>
              <w:bottom w:val="nil"/>
              <w:right w:val="nil"/>
            </w:tcBorders>
            <w:shd w:val="clear" w:color="auto" w:fill="auto"/>
            <w:noWrap/>
            <w:hideMark/>
          </w:tcPr>
          <w:p w14:paraId="1935D73C"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218 (88% of whom have a disability)</w:t>
            </w:r>
          </w:p>
        </w:tc>
        <w:tc>
          <w:tcPr>
            <w:tcW w:w="2970" w:type="dxa"/>
            <w:tcBorders>
              <w:top w:val="nil"/>
              <w:left w:val="nil"/>
              <w:bottom w:val="nil"/>
              <w:right w:val="nil"/>
            </w:tcBorders>
            <w:shd w:val="clear" w:color="auto" w:fill="auto"/>
            <w:noWrap/>
            <w:hideMark/>
          </w:tcPr>
          <w:p w14:paraId="418EE8BF"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Not Reported</w:t>
            </w:r>
          </w:p>
        </w:tc>
        <w:tc>
          <w:tcPr>
            <w:tcW w:w="2790" w:type="dxa"/>
            <w:tcBorders>
              <w:top w:val="nil"/>
              <w:left w:val="nil"/>
              <w:bottom w:val="nil"/>
              <w:right w:val="nil"/>
            </w:tcBorders>
            <w:shd w:val="clear" w:color="auto" w:fill="auto"/>
            <w:hideMark/>
          </w:tcPr>
          <w:p w14:paraId="2283B9F6"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Not Reported</w:t>
            </w:r>
          </w:p>
        </w:tc>
        <w:tc>
          <w:tcPr>
            <w:tcW w:w="3060" w:type="dxa"/>
            <w:tcBorders>
              <w:top w:val="nil"/>
              <w:left w:val="nil"/>
              <w:bottom w:val="nil"/>
              <w:right w:val="nil"/>
            </w:tcBorders>
            <w:shd w:val="clear" w:color="auto" w:fill="auto"/>
            <w:noWrap/>
            <w:hideMark/>
          </w:tcPr>
          <w:p w14:paraId="3281CC4A"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Not Reported</w:t>
            </w:r>
          </w:p>
        </w:tc>
      </w:tr>
      <w:tr w:rsidR="00505624" w:rsidRPr="00F60D8C" w14:paraId="49599FCF" w14:textId="77777777" w:rsidTr="00526100">
        <w:trPr>
          <w:trHeight w:val="300"/>
        </w:trPr>
        <w:tc>
          <w:tcPr>
            <w:tcW w:w="1440" w:type="dxa"/>
            <w:tcBorders>
              <w:top w:val="nil"/>
              <w:left w:val="nil"/>
              <w:bottom w:val="nil"/>
              <w:right w:val="nil"/>
            </w:tcBorders>
            <w:shd w:val="clear" w:color="auto" w:fill="auto"/>
            <w:hideMark/>
          </w:tcPr>
          <w:p w14:paraId="2C98EE11" w14:textId="77777777" w:rsidR="00505624" w:rsidRPr="00E969CC" w:rsidRDefault="00505624" w:rsidP="00A34A2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EAP Delivery</w:t>
            </w:r>
          </w:p>
        </w:tc>
        <w:tc>
          <w:tcPr>
            <w:tcW w:w="2790" w:type="dxa"/>
            <w:tcBorders>
              <w:top w:val="nil"/>
              <w:left w:val="nil"/>
              <w:bottom w:val="nil"/>
              <w:right w:val="nil"/>
            </w:tcBorders>
            <w:shd w:val="clear" w:color="auto" w:fill="auto"/>
            <w:hideMark/>
          </w:tcPr>
          <w:p w14:paraId="01F1CA43"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Internal</w:t>
            </w:r>
          </w:p>
        </w:tc>
        <w:tc>
          <w:tcPr>
            <w:tcW w:w="2970" w:type="dxa"/>
            <w:tcBorders>
              <w:top w:val="nil"/>
              <w:left w:val="nil"/>
              <w:bottom w:val="nil"/>
              <w:right w:val="nil"/>
            </w:tcBorders>
            <w:shd w:val="clear" w:color="auto" w:fill="auto"/>
            <w:hideMark/>
          </w:tcPr>
          <w:p w14:paraId="33E915C7"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Internal</w:t>
            </w:r>
          </w:p>
        </w:tc>
        <w:tc>
          <w:tcPr>
            <w:tcW w:w="2790" w:type="dxa"/>
            <w:tcBorders>
              <w:top w:val="nil"/>
              <w:left w:val="nil"/>
              <w:bottom w:val="nil"/>
              <w:right w:val="nil"/>
            </w:tcBorders>
            <w:shd w:val="clear" w:color="auto" w:fill="auto"/>
            <w:hideMark/>
          </w:tcPr>
          <w:p w14:paraId="0FF537EF"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Internal</w:t>
            </w:r>
          </w:p>
        </w:tc>
        <w:tc>
          <w:tcPr>
            <w:tcW w:w="3060" w:type="dxa"/>
            <w:tcBorders>
              <w:top w:val="nil"/>
              <w:left w:val="nil"/>
              <w:bottom w:val="nil"/>
              <w:right w:val="nil"/>
            </w:tcBorders>
            <w:shd w:val="clear" w:color="auto" w:fill="auto"/>
            <w:hideMark/>
          </w:tcPr>
          <w:p w14:paraId="4D6F7EA0"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Internal</w:t>
            </w:r>
          </w:p>
        </w:tc>
      </w:tr>
      <w:tr w:rsidR="00505624" w:rsidRPr="00F60D8C" w14:paraId="42B031A8" w14:textId="77777777" w:rsidTr="00526100">
        <w:trPr>
          <w:trHeight w:val="87"/>
        </w:trPr>
        <w:tc>
          <w:tcPr>
            <w:tcW w:w="1440" w:type="dxa"/>
            <w:tcBorders>
              <w:top w:val="nil"/>
              <w:left w:val="nil"/>
              <w:right w:val="nil"/>
            </w:tcBorders>
            <w:shd w:val="clear" w:color="auto" w:fill="auto"/>
            <w:hideMark/>
          </w:tcPr>
          <w:p w14:paraId="0E54A051" w14:textId="77777777" w:rsidR="00505624" w:rsidRPr="00E969CC" w:rsidRDefault="00505624" w:rsidP="00A34A2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Method</w:t>
            </w:r>
          </w:p>
        </w:tc>
        <w:tc>
          <w:tcPr>
            <w:tcW w:w="2790" w:type="dxa"/>
            <w:tcBorders>
              <w:top w:val="nil"/>
              <w:left w:val="nil"/>
              <w:right w:val="nil"/>
            </w:tcBorders>
            <w:shd w:val="clear" w:color="auto" w:fill="auto"/>
            <w:hideMark/>
          </w:tcPr>
          <w:p w14:paraId="5F970E47" w14:textId="64D65AE9"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Retrospective document review </w:t>
            </w:r>
          </w:p>
          <w:p w14:paraId="410BA53E"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p>
          <w:p w14:paraId="76CF0121"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 xml:space="preserve">Employee </w:t>
            </w:r>
            <w:r w:rsidRPr="00E969CC">
              <w:rPr>
                <w:rFonts w:ascii="Times New Roman" w:eastAsia="Times New Roman" w:hAnsi="Times New Roman" w:cs="Times New Roman"/>
                <w:color w:val="000000"/>
                <w:sz w:val="20"/>
                <w:szCs w:val="20"/>
                <w:lang w:val="en-US"/>
              </w:rPr>
              <w:t>satisfaction surveys</w:t>
            </w:r>
            <w:r w:rsidRPr="00F60D8C">
              <w:rPr>
                <w:rFonts w:ascii="Times New Roman" w:eastAsia="Times New Roman" w:hAnsi="Times New Roman" w:cs="Times New Roman"/>
                <w:color w:val="000000"/>
                <w:sz w:val="20"/>
                <w:szCs w:val="20"/>
                <w:lang w:val="en-US"/>
              </w:rPr>
              <w:t xml:space="preserve"> </w:t>
            </w:r>
          </w:p>
          <w:p w14:paraId="7E6B455F"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p>
          <w:p w14:paraId="74514D69"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F</w:t>
            </w:r>
            <w:r w:rsidRPr="00E969CC">
              <w:rPr>
                <w:rFonts w:ascii="Times New Roman" w:eastAsia="Times New Roman" w:hAnsi="Times New Roman" w:cs="Times New Roman"/>
                <w:color w:val="000000"/>
                <w:sz w:val="20"/>
                <w:szCs w:val="20"/>
                <w:lang w:val="en-US"/>
              </w:rPr>
              <w:t>ocus groups with EAP stakeholders</w:t>
            </w:r>
          </w:p>
        </w:tc>
        <w:tc>
          <w:tcPr>
            <w:tcW w:w="2970" w:type="dxa"/>
            <w:tcBorders>
              <w:top w:val="nil"/>
              <w:left w:val="nil"/>
              <w:right w:val="nil"/>
            </w:tcBorders>
            <w:shd w:val="clear" w:color="auto" w:fill="auto"/>
            <w:hideMark/>
          </w:tcPr>
          <w:p w14:paraId="6E13B7BE"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 xml:space="preserve">Quasi-experimental, </w:t>
            </w:r>
            <w:r w:rsidRPr="00E969CC">
              <w:rPr>
                <w:rFonts w:ascii="Times New Roman" w:eastAsia="Times New Roman" w:hAnsi="Times New Roman" w:cs="Times New Roman"/>
                <w:color w:val="000000"/>
                <w:sz w:val="20"/>
                <w:szCs w:val="20"/>
                <w:lang w:val="en-US"/>
              </w:rPr>
              <w:t xml:space="preserve">non-equivalent groups (Intervention n=66, Control n=338). </w:t>
            </w:r>
          </w:p>
          <w:p w14:paraId="057CE4F2"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p>
          <w:p w14:paraId="2367C134"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Pre/post completion of GAIN-SS, WOS, and AUDIT tools.</w:t>
            </w:r>
          </w:p>
        </w:tc>
        <w:tc>
          <w:tcPr>
            <w:tcW w:w="2790" w:type="dxa"/>
            <w:tcBorders>
              <w:top w:val="nil"/>
              <w:left w:val="nil"/>
              <w:right w:val="nil"/>
            </w:tcBorders>
            <w:shd w:val="clear" w:color="auto" w:fill="auto"/>
            <w:hideMark/>
          </w:tcPr>
          <w:p w14:paraId="5E6B9E96"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Chart review</w:t>
            </w:r>
          </w:p>
          <w:p w14:paraId="61AFD142"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p>
          <w:p w14:paraId="30FBB8FA"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n=100</w:t>
            </w:r>
            <w:r w:rsidRPr="00E969CC">
              <w:rPr>
                <w:rFonts w:ascii="Times New Roman" w:eastAsia="Times New Roman" w:hAnsi="Times New Roman" w:cs="Times New Roman"/>
                <w:color w:val="000000"/>
                <w:sz w:val="20"/>
                <w:szCs w:val="20"/>
                <w:lang w:val="en-US"/>
              </w:rPr>
              <w:t xml:space="preserve"> </w:t>
            </w:r>
          </w:p>
          <w:p w14:paraId="43F42D28"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p>
          <w:p w14:paraId="0975254F"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Pre-post completion of OQ-45.2 and GAF, PIR completed post counseling</w:t>
            </w:r>
          </w:p>
        </w:tc>
        <w:tc>
          <w:tcPr>
            <w:tcW w:w="3060" w:type="dxa"/>
            <w:tcBorders>
              <w:top w:val="nil"/>
              <w:left w:val="nil"/>
              <w:right w:val="nil"/>
            </w:tcBorders>
            <w:shd w:val="clear" w:color="auto" w:fill="auto"/>
            <w:hideMark/>
          </w:tcPr>
          <w:p w14:paraId="6E251001"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Chart review</w:t>
            </w:r>
          </w:p>
          <w:p w14:paraId="1EE3DB12" w14:textId="77777777" w:rsidR="00505624" w:rsidRPr="00F60D8C" w:rsidRDefault="00505624" w:rsidP="00A34A25">
            <w:pPr>
              <w:spacing w:after="0" w:line="240" w:lineRule="auto"/>
              <w:ind w:left="144" w:hanging="144"/>
              <w:rPr>
                <w:rFonts w:ascii="Times New Roman" w:eastAsia="Times New Roman" w:hAnsi="Times New Roman" w:cs="Times New Roman"/>
                <w:color w:val="000000"/>
                <w:sz w:val="20"/>
                <w:szCs w:val="20"/>
                <w:lang w:val="en-US"/>
              </w:rPr>
            </w:pPr>
          </w:p>
          <w:p w14:paraId="2657F9D0" w14:textId="084700EE" w:rsidR="00505624"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Presenting complaint work-related or non-work related, n=50/group</w:t>
            </w:r>
          </w:p>
          <w:p w14:paraId="181763DA" w14:textId="720A17FC" w:rsidR="00505624" w:rsidRPr="00F60D8C" w:rsidRDefault="006663CF" w:rsidP="006663CF">
            <w:pPr>
              <w:spacing w:after="0" w:line="240" w:lineRule="auto"/>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Pre-post completion of OQ-45.2</w:t>
            </w:r>
          </w:p>
          <w:p w14:paraId="545E5A04" w14:textId="7AE659A5"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and GAF, PIR completed post counseling</w:t>
            </w:r>
          </w:p>
        </w:tc>
      </w:tr>
      <w:tr w:rsidR="00A34A25" w:rsidRPr="00F60D8C" w14:paraId="4C431676" w14:textId="77777777" w:rsidTr="00526100">
        <w:trPr>
          <w:trHeight w:val="837"/>
        </w:trPr>
        <w:tc>
          <w:tcPr>
            <w:tcW w:w="1440" w:type="dxa"/>
            <w:tcBorders>
              <w:top w:val="nil"/>
              <w:left w:val="nil"/>
              <w:right w:val="nil"/>
            </w:tcBorders>
            <w:shd w:val="clear" w:color="auto" w:fill="auto"/>
            <w:hideMark/>
          </w:tcPr>
          <w:p w14:paraId="7C6DCA93" w14:textId="77777777" w:rsidR="00505624" w:rsidRPr="00E969CC" w:rsidRDefault="00505624" w:rsidP="00A34A2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Study Time Frame</w:t>
            </w:r>
          </w:p>
        </w:tc>
        <w:tc>
          <w:tcPr>
            <w:tcW w:w="2790" w:type="dxa"/>
            <w:tcBorders>
              <w:top w:val="nil"/>
              <w:left w:val="nil"/>
              <w:right w:val="nil"/>
            </w:tcBorders>
            <w:shd w:val="clear" w:color="auto" w:fill="auto"/>
            <w:hideMark/>
          </w:tcPr>
          <w:p w14:paraId="1B0173B9" w14:textId="77777777" w:rsidR="00505624" w:rsidRPr="00E969CC" w:rsidRDefault="008A76AF" w:rsidP="00A34A25">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Not Reported</w:t>
            </w:r>
          </w:p>
        </w:tc>
        <w:tc>
          <w:tcPr>
            <w:tcW w:w="2970" w:type="dxa"/>
            <w:tcBorders>
              <w:top w:val="nil"/>
              <w:left w:val="nil"/>
              <w:right w:val="nil"/>
            </w:tcBorders>
            <w:shd w:val="clear" w:color="auto" w:fill="auto"/>
            <w:hideMark/>
          </w:tcPr>
          <w:p w14:paraId="21C13FAC"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 xml:space="preserve">Follow-up 90 days </w:t>
            </w:r>
            <w:r w:rsidRPr="00E969CC">
              <w:rPr>
                <w:rFonts w:ascii="Times New Roman" w:eastAsia="Times New Roman" w:hAnsi="Times New Roman" w:cs="Times New Roman"/>
                <w:color w:val="000000"/>
                <w:sz w:val="20"/>
                <w:szCs w:val="20"/>
                <w:lang w:val="en-US"/>
              </w:rPr>
              <w:t>for intervention gr</w:t>
            </w:r>
            <w:r w:rsidRPr="00F60D8C">
              <w:rPr>
                <w:rFonts w:ascii="Times New Roman" w:eastAsia="Times New Roman" w:hAnsi="Times New Roman" w:cs="Times New Roman"/>
                <w:color w:val="000000"/>
                <w:sz w:val="20"/>
                <w:szCs w:val="20"/>
                <w:lang w:val="en-US"/>
              </w:rPr>
              <w:t xml:space="preserve">oup, 120 days for </w:t>
            </w:r>
            <w:r w:rsidRPr="00E969CC">
              <w:rPr>
                <w:rFonts w:ascii="Times New Roman" w:eastAsia="Times New Roman" w:hAnsi="Times New Roman" w:cs="Times New Roman"/>
                <w:color w:val="000000"/>
                <w:sz w:val="20"/>
                <w:szCs w:val="20"/>
                <w:lang w:val="en-US"/>
              </w:rPr>
              <w:t>control group</w:t>
            </w:r>
          </w:p>
        </w:tc>
        <w:tc>
          <w:tcPr>
            <w:tcW w:w="2790" w:type="dxa"/>
            <w:tcBorders>
              <w:top w:val="nil"/>
              <w:left w:val="nil"/>
              <w:right w:val="nil"/>
            </w:tcBorders>
            <w:shd w:val="clear" w:color="auto" w:fill="auto"/>
            <w:hideMark/>
          </w:tcPr>
          <w:p w14:paraId="0DB47D8F"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Closed files between August 2009 and October 2010 (15 month period)</w:t>
            </w:r>
          </w:p>
        </w:tc>
        <w:tc>
          <w:tcPr>
            <w:tcW w:w="3060" w:type="dxa"/>
            <w:tcBorders>
              <w:top w:val="nil"/>
              <w:left w:val="nil"/>
              <w:right w:val="nil"/>
            </w:tcBorders>
            <w:shd w:val="clear" w:color="auto" w:fill="auto"/>
            <w:hideMark/>
          </w:tcPr>
          <w:p w14:paraId="604182C8"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Retrospective</w:t>
            </w:r>
          </w:p>
        </w:tc>
      </w:tr>
      <w:tr w:rsidR="00A34A25" w:rsidRPr="00F60D8C" w14:paraId="3C494531" w14:textId="77777777" w:rsidTr="00526100">
        <w:trPr>
          <w:trHeight w:val="3410"/>
        </w:trPr>
        <w:tc>
          <w:tcPr>
            <w:tcW w:w="1440" w:type="dxa"/>
            <w:tcBorders>
              <w:left w:val="nil"/>
              <w:bottom w:val="single" w:sz="4" w:space="0" w:color="auto"/>
              <w:right w:val="nil"/>
            </w:tcBorders>
            <w:shd w:val="clear" w:color="auto" w:fill="auto"/>
            <w:hideMark/>
          </w:tcPr>
          <w:p w14:paraId="44C1849C" w14:textId="77777777" w:rsidR="00505624" w:rsidRPr="00E969CC" w:rsidRDefault="00505624" w:rsidP="00A34A2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Variables Examined</w:t>
            </w:r>
          </w:p>
        </w:tc>
        <w:tc>
          <w:tcPr>
            <w:tcW w:w="2790" w:type="dxa"/>
            <w:tcBorders>
              <w:left w:val="nil"/>
              <w:bottom w:val="single" w:sz="4" w:space="0" w:color="auto"/>
              <w:right w:val="nil"/>
            </w:tcBorders>
            <w:shd w:val="clear" w:color="auto" w:fill="auto"/>
            <w:hideMark/>
          </w:tcPr>
          <w:p w14:paraId="4F09230C"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Program goals identified in grant application, reasons for referral, </w:t>
            </w:r>
            <w:r w:rsidR="00F60D8C" w:rsidRPr="00F60D8C">
              <w:rPr>
                <w:rFonts w:ascii="Times New Roman" w:eastAsia="Times New Roman" w:hAnsi="Times New Roman" w:cs="Times New Roman"/>
                <w:color w:val="000000"/>
                <w:sz w:val="20"/>
                <w:szCs w:val="20"/>
                <w:lang w:val="en-US"/>
              </w:rPr>
              <w:t>referral</w:t>
            </w:r>
            <w:r w:rsidRPr="00E969CC">
              <w:rPr>
                <w:rFonts w:ascii="Times New Roman" w:eastAsia="Times New Roman" w:hAnsi="Times New Roman" w:cs="Times New Roman"/>
                <w:color w:val="000000"/>
                <w:sz w:val="20"/>
                <w:szCs w:val="20"/>
                <w:lang w:val="en-US"/>
              </w:rPr>
              <w:t xml:space="preserve"> concerns, employee satisfaction (both supervisory and non-supervisory employees)</w:t>
            </w:r>
          </w:p>
        </w:tc>
        <w:tc>
          <w:tcPr>
            <w:tcW w:w="2970" w:type="dxa"/>
            <w:tcBorders>
              <w:left w:val="nil"/>
              <w:bottom w:val="single" w:sz="4" w:space="0" w:color="auto"/>
              <w:right w:val="nil"/>
            </w:tcBorders>
            <w:shd w:val="clear" w:color="auto" w:fill="auto"/>
            <w:hideMark/>
          </w:tcPr>
          <w:p w14:paraId="2C925D0D" w14:textId="77777777" w:rsidR="00505624" w:rsidRPr="00E969CC" w:rsidRDefault="00505624" w:rsidP="00A34A25">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GAIN-SS measures recency of experiences of behavio</w:t>
            </w:r>
            <w:r w:rsidR="00F60D8C" w:rsidRPr="00F60D8C">
              <w:rPr>
                <w:rFonts w:ascii="Times New Roman" w:eastAsia="Times New Roman" w:hAnsi="Times New Roman" w:cs="Times New Roman"/>
                <w:color w:val="000000"/>
                <w:sz w:val="20"/>
                <w:szCs w:val="20"/>
                <w:lang w:val="en-US"/>
              </w:rPr>
              <w:t>ural health problems. W</w:t>
            </w:r>
            <w:r w:rsidRPr="00E969CC">
              <w:rPr>
                <w:rFonts w:ascii="Times New Roman" w:eastAsia="Times New Roman" w:hAnsi="Times New Roman" w:cs="Times New Roman"/>
                <w:color w:val="000000"/>
                <w:sz w:val="20"/>
                <w:szCs w:val="20"/>
                <w:lang w:val="en-US"/>
              </w:rPr>
              <w:t xml:space="preserve">OS identifies absenteeism, presenteeism, work engagement, life satisfaction, and </w:t>
            </w:r>
            <w:r w:rsidR="00F60D8C" w:rsidRPr="00F60D8C">
              <w:rPr>
                <w:rFonts w:ascii="Times New Roman" w:eastAsia="Times New Roman" w:hAnsi="Times New Roman" w:cs="Times New Roman"/>
                <w:color w:val="000000"/>
                <w:sz w:val="20"/>
                <w:szCs w:val="20"/>
                <w:lang w:val="en-US"/>
              </w:rPr>
              <w:t>workplace</w:t>
            </w:r>
            <w:r w:rsidRPr="00E969CC">
              <w:rPr>
                <w:rFonts w:ascii="Times New Roman" w:eastAsia="Times New Roman" w:hAnsi="Times New Roman" w:cs="Times New Roman"/>
                <w:color w:val="000000"/>
                <w:sz w:val="20"/>
                <w:szCs w:val="20"/>
                <w:lang w:val="en-US"/>
              </w:rPr>
              <w:t xml:space="preserve"> distress. AUDIT provides measures of alcohol problems and dependence. </w:t>
            </w:r>
          </w:p>
        </w:tc>
        <w:tc>
          <w:tcPr>
            <w:tcW w:w="2790" w:type="dxa"/>
            <w:tcBorders>
              <w:left w:val="nil"/>
              <w:bottom w:val="single" w:sz="4" w:space="0" w:color="auto"/>
              <w:right w:val="nil"/>
            </w:tcBorders>
            <w:shd w:val="clear" w:color="auto" w:fill="auto"/>
            <w:hideMark/>
          </w:tcPr>
          <w:p w14:paraId="06087F76" w14:textId="77777777" w:rsidR="00505624" w:rsidRPr="00E969CC" w:rsidRDefault="00F60D8C"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OQ</w:t>
            </w:r>
            <w:r w:rsidR="00505624" w:rsidRPr="00E969CC">
              <w:rPr>
                <w:rFonts w:ascii="Times New Roman" w:eastAsia="Times New Roman" w:hAnsi="Times New Roman" w:cs="Times New Roman"/>
                <w:color w:val="000000"/>
                <w:sz w:val="20"/>
                <w:szCs w:val="20"/>
                <w:lang w:val="en-US"/>
              </w:rPr>
              <w:t xml:space="preserve">-45.2 estimates subjective distress, quality of interpersonal relationships, level of adjustment and effectiveness at work, and overall level of psychological </w:t>
            </w:r>
            <w:r w:rsidRPr="00F60D8C">
              <w:rPr>
                <w:rFonts w:ascii="Times New Roman" w:eastAsia="Times New Roman" w:hAnsi="Times New Roman" w:cs="Times New Roman"/>
                <w:color w:val="000000"/>
                <w:sz w:val="20"/>
                <w:szCs w:val="20"/>
                <w:lang w:val="en-US"/>
              </w:rPr>
              <w:t xml:space="preserve">functioning. </w:t>
            </w:r>
            <w:r w:rsidR="00505624" w:rsidRPr="00E969CC">
              <w:rPr>
                <w:rFonts w:ascii="Times New Roman" w:eastAsia="Times New Roman" w:hAnsi="Times New Roman" w:cs="Times New Roman"/>
                <w:color w:val="000000"/>
                <w:sz w:val="20"/>
                <w:szCs w:val="20"/>
                <w:lang w:val="en-US"/>
              </w:rPr>
              <w:t>GAF reports clinician's judgement of a client's overall level of functioning. PIR</w:t>
            </w:r>
            <w:r w:rsidRPr="00F60D8C">
              <w:rPr>
                <w:rFonts w:ascii="Times New Roman" w:eastAsia="Times New Roman" w:hAnsi="Times New Roman" w:cs="Times New Roman"/>
                <w:color w:val="000000"/>
                <w:sz w:val="20"/>
                <w:szCs w:val="20"/>
                <w:lang w:val="en-US"/>
              </w:rPr>
              <w:t xml:space="preserve"> </w:t>
            </w:r>
            <w:r w:rsidR="00505624" w:rsidRPr="00E969CC">
              <w:rPr>
                <w:rFonts w:ascii="Times New Roman" w:eastAsia="Times New Roman" w:hAnsi="Times New Roman" w:cs="Times New Roman"/>
                <w:color w:val="000000"/>
                <w:sz w:val="20"/>
                <w:szCs w:val="20"/>
                <w:lang w:val="en-US"/>
              </w:rPr>
              <w:t>provides clinician's assessment of client's improvement on specific goals identified at intake.</w:t>
            </w:r>
          </w:p>
        </w:tc>
        <w:tc>
          <w:tcPr>
            <w:tcW w:w="3060" w:type="dxa"/>
            <w:tcBorders>
              <w:left w:val="nil"/>
              <w:bottom w:val="single" w:sz="4" w:space="0" w:color="auto"/>
              <w:right w:val="nil"/>
            </w:tcBorders>
            <w:shd w:val="clear" w:color="auto" w:fill="auto"/>
            <w:hideMark/>
          </w:tcPr>
          <w:p w14:paraId="0F0E8D24" w14:textId="77777777" w:rsidR="00505624" w:rsidRPr="00E969CC" w:rsidRDefault="00F60D8C" w:rsidP="00A34A25">
            <w:pPr>
              <w:spacing w:after="0" w:line="240" w:lineRule="auto"/>
              <w:ind w:left="144" w:hanging="144"/>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OQ-45.2</w:t>
            </w:r>
            <w:r w:rsidR="00505624" w:rsidRPr="00E969CC">
              <w:rPr>
                <w:rFonts w:ascii="Times New Roman" w:eastAsia="Times New Roman" w:hAnsi="Times New Roman" w:cs="Times New Roman"/>
                <w:color w:val="000000"/>
                <w:sz w:val="20"/>
                <w:szCs w:val="20"/>
                <w:lang w:val="en-US"/>
              </w:rPr>
              <w:t xml:space="preserve"> total score estimates psychological functioning, and the social role scale estimates le</w:t>
            </w:r>
            <w:r w:rsidRPr="00F60D8C">
              <w:rPr>
                <w:rFonts w:ascii="Times New Roman" w:eastAsia="Times New Roman" w:hAnsi="Times New Roman" w:cs="Times New Roman"/>
                <w:color w:val="000000"/>
                <w:sz w:val="20"/>
                <w:szCs w:val="20"/>
                <w:lang w:val="en-US"/>
              </w:rPr>
              <w:t>vel of functioning at work. G</w:t>
            </w:r>
            <w:r w:rsidR="00505624" w:rsidRPr="00E969CC">
              <w:rPr>
                <w:rFonts w:ascii="Times New Roman" w:eastAsia="Times New Roman" w:hAnsi="Times New Roman" w:cs="Times New Roman"/>
                <w:color w:val="000000"/>
                <w:sz w:val="20"/>
                <w:szCs w:val="20"/>
                <w:lang w:val="en-US"/>
              </w:rPr>
              <w:t>AF reports clinician's judgement of a client's overall level of functioning. PIR</w:t>
            </w:r>
            <w:r w:rsidRPr="00F60D8C">
              <w:rPr>
                <w:rFonts w:ascii="Times New Roman" w:eastAsia="Times New Roman" w:hAnsi="Times New Roman" w:cs="Times New Roman"/>
                <w:color w:val="000000"/>
                <w:sz w:val="20"/>
                <w:szCs w:val="20"/>
                <w:lang w:val="en-US"/>
              </w:rPr>
              <w:t xml:space="preserve"> </w:t>
            </w:r>
            <w:r w:rsidR="00505624" w:rsidRPr="00E969CC">
              <w:rPr>
                <w:rFonts w:ascii="Times New Roman" w:eastAsia="Times New Roman" w:hAnsi="Times New Roman" w:cs="Times New Roman"/>
                <w:color w:val="000000"/>
                <w:sz w:val="20"/>
                <w:szCs w:val="20"/>
                <w:lang w:val="en-US"/>
              </w:rPr>
              <w:t>provides clinician's assessment of client's improvement on specific goals identified at intake.</w:t>
            </w:r>
          </w:p>
        </w:tc>
      </w:tr>
    </w:tbl>
    <w:p w14:paraId="61F03B98" w14:textId="77777777" w:rsidR="008A76AF" w:rsidRPr="00A34A25" w:rsidRDefault="00A34A25">
      <w:pPr>
        <w:rPr>
          <w:rFonts w:ascii="Times New Roman" w:hAnsi="Times New Roman" w:cs="Times New Roman"/>
          <w:sz w:val="24"/>
        </w:rPr>
      </w:pPr>
      <w:r w:rsidRPr="00A34A25">
        <w:rPr>
          <w:rFonts w:ascii="Times New Roman" w:hAnsi="Times New Roman" w:cs="Times New Roman"/>
          <w:sz w:val="24"/>
        </w:rPr>
        <w:t>Table 3</w:t>
      </w:r>
    </w:p>
    <w:p w14:paraId="582B2B68" w14:textId="77777777" w:rsidR="00A34A25" w:rsidRDefault="00A34A25">
      <w:pPr>
        <w:rPr>
          <w:rFonts w:ascii="Times New Roman" w:hAnsi="Times New Roman" w:cs="Times New Roman"/>
          <w:i/>
          <w:sz w:val="24"/>
        </w:rPr>
      </w:pPr>
      <w:r>
        <w:rPr>
          <w:rFonts w:ascii="Times New Roman" w:hAnsi="Times New Roman" w:cs="Times New Roman"/>
          <w:i/>
          <w:sz w:val="24"/>
        </w:rPr>
        <w:t>Outcome Study Summaries</w:t>
      </w:r>
    </w:p>
    <w:p w14:paraId="35788E8A" w14:textId="77777777" w:rsidR="006663CF" w:rsidRDefault="006663CF">
      <w:pPr>
        <w:rPr>
          <w:rFonts w:ascii="Times New Roman" w:hAnsi="Times New Roman" w:cs="Times New Roman"/>
          <w:sz w:val="24"/>
        </w:rPr>
      </w:pPr>
    </w:p>
    <w:p w14:paraId="0B2D11EC" w14:textId="1729B103" w:rsidR="008A76AF" w:rsidRPr="00A34A25" w:rsidRDefault="008A76AF">
      <w:pPr>
        <w:rPr>
          <w:rFonts w:ascii="Times New Roman" w:hAnsi="Times New Roman" w:cs="Times New Roman"/>
          <w:i/>
          <w:sz w:val="24"/>
        </w:rPr>
      </w:pPr>
      <w:r>
        <w:rPr>
          <w:rFonts w:ascii="Times New Roman" w:hAnsi="Times New Roman" w:cs="Times New Roman"/>
          <w:sz w:val="24"/>
        </w:rPr>
        <w:lastRenderedPageBreak/>
        <w:t>Table 3</w:t>
      </w:r>
    </w:p>
    <w:p w14:paraId="5B1535BE" w14:textId="77777777" w:rsidR="008A76AF" w:rsidRPr="008A76AF" w:rsidRDefault="00A34A25">
      <w:pPr>
        <w:rPr>
          <w:rFonts w:ascii="Times New Roman" w:hAnsi="Times New Roman" w:cs="Times New Roman"/>
          <w:i/>
          <w:sz w:val="24"/>
        </w:rPr>
      </w:pPr>
      <w:r>
        <w:rPr>
          <w:rFonts w:ascii="Times New Roman" w:hAnsi="Times New Roman" w:cs="Times New Roman"/>
          <w:i/>
          <w:sz w:val="24"/>
        </w:rPr>
        <w:t xml:space="preserve">Outcome Study Summaries </w:t>
      </w:r>
      <w:r w:rsidR="008A76AF" w:rsidRPr="008A76AF">
        <w:rPr>
          <w:rFonts w:ascii="Times New Roman" w:hAnsi="Times New Roman" w:cs="Times New Roman"/>
          <w:i/>
          <w:sz w:val="24"/>
        </w:rPr>
        <w:t>Continued</w:t>
      </w:r>
    </w:p>
    <w:tbl>
      <w:tblPr>
        <w:tblW w:w="13050" w:type="dxa"/>
        <w:tblCellMar>
          <w:left w:w="72" w:type="dxa"/>
          <w:right w:w="72" w:type="dxa"/>
        </w:tblCellMar>
        <w:tblLook w:val="04A0" w:firstRow="1" w:lastRow="0" w:firstColumn="1" w:lastColumn="0" w:noHBand="0" w:noVBand="1"/>
      </w:tblPr>
      <w:tblGrid>
        <w:gridCol w:w="1440"/>
        <w:gridCol w:w="2790"/>
        <w:gridCol w:w="2970"/>
        <w:gridCol w:w="2790"/>
        <w:gridCol w:w="3060"/>
      </w:tblGrid>
      <w:tr w:rsidR="008A76AF" w:rsidRPr="00F60D8C" w14:paraId="59572A10" w14:textId="77777777" w:rsidTr="00526100">
        <w:trPr>
          <w:trHeight w:val="576"/>
        </w:trPr>
        <w:tc>
          <w:tcPr>
            <w:tcW w:w="1440" w:type="dxa"/>
            <w:tcBorders>
              <w:top w:val="single" w:sz="4" w:space="0" w:color="auto"/>
              <w:left w:val="nil"/>
              <w:bottom w:val="nil"/>
              <w:right w:val="nil"/>
            </w:tcBorders>
            <w:shd w:val="clear" w:color="auto" w:fill="auto"/>
            <w:vAlign w:val="bottom"/>
          </w:tcPr>
          <w:p w14:paraId="57BB9DE7" w14:textId="77777777" w:rsidR="008A76AF" w:rsidRPr="00E969CC" w:rsidRDefault="008A76AF" w:rsidP="008A76AF">
            <w:pPr>
              <w:spacing w:after="0" w:line="240" w:lineRule="auto"/>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Author</w:t>
            </w:r>
          </w:p>
        </w:tc>
        <w:tc>
          <w:tcPr>
            <w:tcW w:w="2790" w:type="dxa"/>
            <w:tcBorders>
              <w:top w:val="single" w:sz="4" w:space="0" w:color="auto"/>
              <w:left w:val="nil"/>
              <w:bottom w:val="nil"/>
              <w:right w:val="nil"/>
            </w:tcBorders>
            <w:shd w:val="clear" w:color="auto" w:fill="auto"/>
            <w:vAlign w:val="bottom"/>
          </w:tcPr>
          <w:p w14:paraId="53A585A0" w14:textId="77777777" w:rsidR="008A76AF" w:rsidRPr="00E969CC" w:rsidRDefault="008A76AF" w:rsidP="008A76AF">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Anema &amp; Sligar</w:t>
            </w:r>
          </w:p>
        </w:tc>
        <w:tc>
          <w:tcPr>
            <w:tcW w:w="2970" w:type="dxa"/>
            <w:tcBorders>
              <w:top w:val="single" w:sz="4" w:space="0" w:color="auto"/>
              <w:left w:val="nil"/>
              <w:bottom w:val="nil"/>
              <w:right w:val="nil"/>
            </w:tcBorders>
            <w:shd w:val="clear" w:color="auto" w:fill="auto"/>
            <w:vAlign w:val="bottom"/>
          </w:tcPr>
          <w:p w14:paraId="10043BBF" w14:textId="77777777" w:rsidR="008A76AF" w:rsidRPr="00E969CC" w:rsidRDefault="008A76AF" w:rsidP="008A76AF">
            <w:pPr>
              <w:spacing w:after="0" w:line="240" w:lineRule="auto"/>
              <w:jc w:val="center"/>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Burgess, Lennox, Sharar, </w:t>
            </w:r>
            <w:r w:rsidRPr="00F60D8C">
              <w:rPr>
                <w:rFonts w:ascii="Times New Roman" w:eastAsia="Times New Roman" w:hAnsi="Times New Roman" w:cs="Times New Roman"/>
                <w:color w:val="000000"/>
                <w:sz w:val="20"/>
                <w:szCs w:val="20"/>
                <w:lang w:val="en-US"/>
              </w:rPr>
              <w:t xml:space="preserve">&amp; </w:t>
            </w:r>
            <w:r w:rsidRPr="00E969CC">
              <w:rPr>
                <w:rFonts w:ascii="Times New Roman" w:eastAsia="Times New Roman" w:hAnsi="Times New Roman" w:cs="Times New Roman"/>
                <w:color w:val="000000"/>
                <w:sz w:val="20"/>
                <w:szCs w:val="20"/>
                <w:lang w:val="en-US"/>
              </w:rPr>
              <w:t>Shtoulman</w:t>
            </w:r>
          </w:p>
        </w:tc>
        <w:tc>
          <w:tcPr>
            <w:tcW w:w="2790" w:type="dxa"/>
            <w:tcBorders>
              <w:top w:val="single" w:sz="4" w:space="0" w:color="auto"/>
              <w:left w:val="nil"/>
              <w:bottom w:val="nil"/>
              <w:right w:val="nil"/>
            </w:tcBorders>
            <w:shd w:val="clear" w:color="auto" w:fill="auto"/>
            <w:vAlign w:val="bottom"/>
          </w:tcPr>
          <w:p w14:paraId="0D74C217" w14:textId="77777777" w:rsidR="008A76AF" w:rsidRPr="00E969CC" w:rsidRDefault="008A76AF" w:rsidP="008A76AF">
            <w:pPr>
              <w:spacing w:after="0" w:line="240" w:lineRule="auto"/>
              <w:jc w:val="center"/>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Clavelle, Dickerson, </w:t>
            </w:r>
            <w:r w:rsidRPr="00F60D8C">
              <w:rPr>
                <w:rFonts w:ascii="Times New Roman" w:eastAsia="Times New Roman" w:hAnsi="Times New Roman" w:cs="Times New Roman"/>
                <w:color w:val="000000"/>
                <w:sz w:val="20"/>
                <w:szCs w:val="20"/>
                <w:lang w:val="en-US"/>
              </w:rPr>
              <w:t xml:space="preserve">&amp; </w:t>
            </w:r>
            <w:r w:rsidRPr="00E969CC">
              <w:rPr>
                <w:rFonts w:ascii="Times New Roman" w:eastAsia="Times New Roman" w:hAnsi="Times New Roman" w:cs="Times New Roman"/>
                <w:color w:val="000000"/>
                <w:sz w:val="20"/>
                <w:szCs w:val="20"/>
                <w:lang w:val="en-US"/>
              </w:rPr>
              <w:t>Murphy</w:t>
            </w:r>
          </w:p>
        </w:tc>
        <w:tc>
          <w:tcPr>
            <w:tcW w:w="3060" w:type="dxa"/>
            <w:tcBorders>
              <w:top w:val="single" w:sz="4" w:space="0" w:color="auto"/>
              <w:left w:val="nil"/>
              <w:bottom w:val="nil"/>
              <w:right w:val="nil"/>
            </w:tcBorders>
            <w:shd w:val="clear" w:color="auto" w:fill="auto"/>
            <w:vAlign w:val="bottom"/>
          </w:tcPr>
          <w:p w14:paraId="5346AC91" w14:textId="77777777" w:rsidR="008A76AF" w:rsidRPr="00E969CC" w:rsidRDefault="008A76AF" w:rsidP="008A76AF">
            <w:pPr>
              <w:spacing w:after="0" w:line="240" w:lineRule="auto"/>
              <w:jc w:val="center"/>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Dickerson, Murphy, </w:t>
            </w:r>
            <w:r w:rsidRPr="00F60D8C">
              <w:rPr>
                <w:rFonts w:ascii="Times New Roman" w:eastAsia="Times New Roman" w:hAnsi="Times New Roman" w:cs="Times New Roman"/>
                <w:color w:val="000000"/>
                <w:sz w:val="20"/>
                <w:szCs w:val="20"/>
                <w:lang w:val="en-US"/>
              </w:rPr>
              <w:t xml:space="preserve">&amp; </w:t>
            </w:r>
            <w:r w:rsidRPr="00E969CC">
              <w:rPr>
                <w:rFonts w:ascii="Times New Roman" w:eastAsia="Times New Roman" w:hAnsi="Times New Roman" w:cs="Times New Roman"/>
                <w:color w:val="000000"/>
                <w:sz w:val="20"/>
                <w:szCs w:val="20"/>
                <w:lang w:val="en-US"/>
              </w:rPr>
              <w:t>Clavelle</w:t>
            </w:r>
          </w:p>
        </w:tc>
      </w:tr>
      <w:tr w:rsidR="008A76AF" w:rsidRPr="00F60D8C" w14:paraId="608F7A36" w14:textId="77777777" w:rsidTr="00526100">
        <w:trPr>
          <w:trHeight w:val="306"/>
        </w:trPr>
        <w:tc>
          <w:tcPr>
            <w:tcW w:w="1440" w:type="dxa"/>
            <w:tcBorders>
              <w:top w:val="nil"/>
              <w:left w:val="nil"/>
              <w:bottom w:val="single" w:sz="4" w:space="0" w:color="auto"/>
              <w:right w:val="nil"/>
            </w:tcBorders>
            <w:shd w:val="clear" w:color="auto" w:fill="auto"/>
          </w:tcPr>
          <w:p w14:paraId="7FF59D85" w14:textId="77777777" w:rsidR="008A76AF" w:rsidRPr="00F60D8C" w:rsidRDefault="008A76AF" w:rsidP="008A76AF">
            <w:pPr>
              <w:spacing w:after="0" w:line="240" w:lineRule="auto"/>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Year</w:t>
            </w:r>
          </w:p>
        </w:tc>
        <w:tc>
          <w:tcPr>
            <w:tcW w:w="2790" w:type="dxa"/>
            <w:tcBorders>
              <w:top w:val="nil"/>
              <w:left w:val="nil"/>
              <w:bottom w:val="single" w:sz="4" w:space="0" w:color="auto"/>
              <w:right w:val="nil"/>
            </w:tcBorders>
            <w:shd w:val="clear" w:color="auto" w:fill="auto"/>
          </w:tcPr>
          <w:p w14:paraId="0CA9053C" w14:textId="77777777" w:rsidR="008A76AF" w:rsidRPr="00F60D8C" w:rsidRDefault="008A76AF" w:rsidP="008A76AF">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2010</w:t>
            </w:r>
          </w:p>
        </w:tc>
        <w:tc>
          <w:tcPr>
            <w:tcW w:w="2970" w:type="dxa"/>
            <w:tcBorders>
              <w:top w:val="nil"/>
              <w:left w:val="nil"/>
              <w:bottom w:val="single" w:sz="4" w:space="0" w:color="auto"/>
              <w:right w:val="nil"/>
            </w:tcBorders>
            <w:shd w:val="clear" w:color="auto" w:fill="auto"/>
          </w:tcPr>
          <w:p w14:paraId="4B3A8379" w14:textId="77777777" w:rsidR="008A76AF" w:rsidRPr="00F60D8C" w:rsidRDefault="008A76AF" w:rsidP="008A76AF">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2015</w:t>
            </w:r>
          </w:p>
        </w:tc>
        <w:tc>
          <w:tcPr>
            <w:tcW w:w="2790" w:type="dxa"/>
            <w:tcBorders>
              <w:top w:val="nil"/>
              <w:left w:val="nil"/>
              <w:bottom w:val="single" w:sz="4" w:space="0" w:color="auto"/>
              <w:right w:val="nil"/>
            </w:tcBorders>
            <w:shd w:val="clear" w:color="auto" w:fill="auto"/>
          </w:tcPr>
          <w:p w14:paraId="1ED28709" w14:textId="77777777" w:rsidR="008A76AF" w:rsidRPr="00F60D8C" w:rsidRDefault="008A76AF" w:rsidP="008A76AF">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2012</w:t>
            </w:r>
          </w:p>
        </w:tc>
        <w:tc>
          <w:tcPr>
            <w:tcW w:w="3060" w:type="dxa"/>
            <w:tcBorders>
              <w:top w:val="nil"/>
              <w:left w:val="nil"/>
              <w:bottom w:val="single" w:sz="4" w:space="0" w:color="auto"/>
              <w:right w:val="nil"/>
            </w:tcBorders>
            <w:shd w:val="clear" w:color="auto" w:fill="auto"/>
          </w:tcPr>
          <w:p w14:paraId="0D932217" w14:textId="77777777" w:rsidR="008A76AF" w:rsidRPr="00F60D8C" w:rsidRDefault="008A76AF" w:rsidP="008A76AF">
            <w:pPr>
              <w:spacing w:after="0" w:line="240" w:lineRule="auto"/>
              <w:jc w:val="center"/>
              <w:rPr>
                <w:rFonts w:ascii="Times New Roman" w:eastAsia="Times New Roman" w:hAnsi="Times New Roman" w:cs="Times New Roman"/>
                <w:color w:val="000000"/>
                <w:sz w:val="20"/>
                <w:szCs w:val="20"/>
                <w:lang w:val="en-US"/>
              </w:rPr>
            </w:pPr>
            <w:r w:rsidRPr="00F60D8C">
              <w:rPr>
                <w:rFonts w:ascii="Times New Roman" w:eastAsia="Times New Roman" w:hAnsi="Times New Roman" w:cs="Times New Roman"/>
                <w:color w:val="000000"/>
                <w:sz w:val="20"/>
                <w:szCs w:val="20"/>
                <w:lang w:val="en-US"/>
              </w:rPr>
              <w:t>2012</w:t>
            </w:r>
          </w:p>
        </w:tc>
      </w:tr>
      <w:tr w:rsidR="008A76AF" w:rsidRPr="00F60D8C" w14:paraId="3A523BC0" w14:textId="77777777" w:rsidTr="00526100">
        <w:trPr>
          <w:trHeight w:val="5813"/>
        </w:trPr>
        <w:tc>
          <w:tcPr>
            <w:tcW w:w="1440" w:type="dxa"/>
            <w:tcBorders>
              <w:top w:val="single" w:sz="4" w:space="0" w:color="auto"/>
              <w:left w:val="nil"/>
              <w:bottom w:val="single" w:sz="4" w:space="0" w:color="auto"/>
              <w:right w:val="nil"/>
            </w:tcBorders>
            <w:shd w:val="clear" w:color="auto" w:fill="auto"/>
            <w:hideMark/>
          </w:tcPr>
          <w:p w14:paraId="7B5049BF" w14:textId="77777777" w:rsidR="008A76AF" w:rsidRPr="00E969CC" w:rsidRDefault="008A76AF" w:rsidP="008A76AF">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Outcome</w:t>
            </w:r>
            <w:r>
              <w:rPr>
                <w:rFonts w:ascii="Times New Roman" w:eastAsia="Times New Roman" w:hAnsi="Times New Roman" w:cs="Times New Roman"/>
                <w:color w:val="000000"/>
                <w:sz w:val="20"/>
                <w:szCs w:val="20"/>
                <w:lang w:val="en-US"/>
              </w:rPr>
              <w:t>s</w:t>
            </w:r>
          </w:p>
        </w:tc>
        <w:tc>
          <w:tcPr>
            <w:tcW w:w="2790" w:type="dxa"/>
            <w:tcBorders>
              <w:top w:val="single" w:sz="4" w:space="0" w:color="auto"/>
              <w:left w:val="nil"/>
              <w:bottom w:val="single" w:sz="4" w:space="0" w:color="auto"/>
              <w:right w:val="nil"/>
            </w:tcBorders>
            <w:shd w:val="clear" w:color="auto" w:fill="auto"/>
            <w:hideMark/>
          </w:tcPr>
          <w:p w14:paraId="522A2650" w14:textId="0E6A8BEB"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All </w:t>
            </w:r>
            <w:r w:rsidRPr="00E969CC">
              <w:rPr>
                <w:rFonts w:ascii="Times New Roman" w:eastAsia="Times New Roman" w:hAnsi="Times New Roman" w:cs="Times New Roman"/>
                <w:color w:val="000000"/>
                <w:sz w:val="20"/>
                <w:szCs w:val="20"/>
                <w:lang w:val="en-US"/>
              </w:rPr>
              <w:t>goals set out</w:t>
            </w:r>
            <w:r>
              <w:rPr>
                <w:rFonts w:ascii="Times New Roman" w:eastAsia="Times New Roman" w:hAnsi="Times New Roman" w:cs="Times New Roman"/>
                <w:color w:val="000000"/>
                <w:sz w:val="20"/>
                <w:szCs w:val="20"/>
                <w:lang w:val="en-US"/>
              </w:rPr>
              <w:t xml:space="preserve"> in grant application were met</w:t>
            </w:r>
            <w:r w:rsidR="006663C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w:t>
            </w:r>
            <w:r w:rsidRPr="00E969CC">
              <w:rPr>
                <w:rFonts w:ascii="Times New Roman" w:eastAsia="Times New Roman" w:hAnsi="Times New Roman" w:cs="Times New Roman"/>
                <w:color w:val="000000"/>
                <w:sz w:val="20"/>
                <w:szCs w:val="20"/>
                <w:lang w:val="en-US"/>
              </w:rPr>
              <w:t>increased number of FTE positions past goal, increased average weekly wage past goal, attained job retention rate past goal, had multiple employees complete voluntary self-determination training, obtained feedback</w:t>
            </w:r>
            <w:r>
              <w:rPr>
                <w:rFonts w:ascii="Times New Roman" w:eastAsia="Times New Roman" w:hAnsi="Times New Roman" w:cs="Times New Roman"/>
                <w:color w:val="000000"/>
                <w:sz w:val="20"/>
                <w:szCs w:val="20"/>
                <w:lang w:val="en-US"/>
              </w:rPr>
              <w:t xml:space="preserve"> from employees through survey</w:t>
            </w:r>
          </w:p>
          <w:p w14:paraId="360CA3B4"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 </w:t>
            </w:r>
          </w:p>
          <w:p w14:paraId="1DF105A9"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Absenteeism dropped from 28% in first year of the program to 7% in the second year. </w:t>
            </w:r>
          </w:p>
          <w:p w14:paraId="4272F2FF"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p>
          <w:p w14:paraId="4EE0E8DE"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80% "strongly agreed" that they would recommend</w:t>
            </w:r>
            <w:r>
              <w:rPr>
                <w:rFonts w:ascii="Times New Roman" w:eastAsia="Times New Roman" w:hAnsi="Times New Roman" w:cs="Times New Roman"/>
                <w:color w:val="000000"/>
                <w:sz w:val="20"/>
                <w:szCs w:val="20"/>
                <w:lang w:val="en-US"/>
              </w:rPr>
              <w:t xml:space="preserve"> the EAP to others, </w:t>
            </w:r>
            <w:r w:rsidRPr="00E969CC">
              <w:rPr>
                <w:rFonts w:ascii="Times New Roman" w:eastAsia="Times New Roman" w:hAnsi="Times New Roman" w:cs="Times New Roman"/>
                <w:color w:val="000000"/>
                <w:sz w:val="20"/>
                <w:szCs w:val="20"/>
                <w:lang w:val="en-US"/>
              </w:rPr>
              <w:t xml:space="preserve">66% "strongly agreed" that the EAP was helpful. </w:t>
            </w:r>
          </w:p>
          <w:p w14:paraId="25526A63"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p>
          <w:p w14:paraId="65C8145B" w14:textId="77777777" w:rsidR="008A76AF" w:rsidRPr="00E969CC"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EAP was accepted as part of the company, and there was a decrease in disciplinary referrals from 28% to 14%. </w:t>
            </w:r>
          </w:p>
        </w:tc>
        <w:tc>
          <w:tcPr>
            <w:tcW w:w="2970" w:type="dxa"/>
            <w:tcBorders>
              <w:top w:val="single" w:sz="4" w:space="0" w:color="auto"/>
              <w:left w:val="nil"/>
              <w:bottom w:val="single" w:sz="4" w:space="0" w:color="auto"/>
              <w:right w:val="nil"/>
            </w:tcBorders>
            <w:shd w:val="clear" w:color="auto" w:fill="auto"/>
            <w:hideMark/>
          </w:tcPr>
          <w:p w14:paraId="47C1D055"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Statistically significant changes in AUDIT score for intervention group, post-test scores </w:t>
            </w:r>
            <w:r w:rsidR="006F52BD" w:rsidRPr="00E969CC">
              <w:rPr>
                <w:rFonts w:ascii="Times New Roman" w:eastAsia="Times New Roman" w:hAnsi="Times New Roman" w:cs="Times New Roman"/>
                <w:color w:val="000000"/>
                <w:sz w:val="20"/>
                <w:szCs w:val="20"/>
                <w:lang w:val="en-US"/>
              </w:rPr>
              <w:t>similar</w:t>
            </w:r>
            <w:r w:rsidRPr="00E969CC">
              <w:rPr>
                <w:rFonts w:ascii="Times New Roman" w:eastAsia="Times New Roman" w:hAnsi="Times New Roman" w:cs="Times New Roman"/>
                <w:color w:val="000000"/>
                <w:sz w:val="20"/>
                <w:szCs w:val="20"/>
                <w:lang w:val="en-US"/>
              </w:rPr>
              <w:t xml:space="preserve"> to control group. </w:t>
            </w:r>
          </w:p>
          <w:p w14:paraId="71622E95"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p>
          <w:p w14:paraId="5EA204EF" w14:textId="77777777" w:rsidR="008A76AF" w:rsidRPr="00E969CC"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Improvements in presenteeism among intervention group but results were not statistically significant.</w:t>
            </w:r>
          </w:p>
        </w:tc>
        <w:tc>
          <w:tcPr>
            <w:tcW w:w="2790" w:type="dxa"/>
            <w:tcBorders>
              <w:top w:val="single" w:sz="4" w:space="0" w:color="auto"/>
              <w:left w:val="nil"/>
              <w:bottom w:val="single" w:sz="4" w:space="0" w:color="auto"/>
              <w:right w:val="nil"/>
            </w:tcBorders>
            <w:shd w:val="clear" w:color="auto" w:fill="auto"/>
            <w:hideMark/>
          </w:tcPr>
          <w:p w14:paraId="08A439F1"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Based on pre/post-test analysis of the OQ, 86% of clients reported less dysfunction, while 13% reported more dysfunction at outcome. </w:t>
            </w:r>
          </w:p>
          <w:p w14:paraId="1F4F825B"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p>
          <w:p w14:paraId="4848B28D"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w:t>
            </w:r>
            <w:r w:rsidRPr="00E969CC">
              <w:rPr>
                <w:rFonts w:ascii="Times New Roman" w:eastAsia="Times New Roman" w:hAnsi="Times New Roman" w:cs="Times New Roman"/>
                <w:color w:val="000000"/>
                <w:sz w:val="20"/>
                <w:szCs w:val="20"/>
                <w:lang w:val="en-US"/>
              </w:rPr>
              <w:t xml:space="preserve">ean scores for subjective distress, quality of interpersonal relationships, and level of adjustment and effectiveness at work all decreased with statistical significance, demonstrating improvements in functioning. </w:t>
            </w:r>
          </w:p>
          <w:p w14:paraId="27F6AEBB"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p>
          <w:p w14:paraId="3D99F7CD"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 xml:space="preserve">Mean GAF scores improved with statistical significance, 60% of clients deemed to have shown positive change in functioning by clinicians. </w:t>
            </w:r>
          </w:p>
          <w:p w14:paraId="56C45255" w14:textId="77777777" w:rsidR="008A76AF" w:rsidRDefault="008A76AF" w:rsidP="008A76AF">
            <w:pPr>
              <w:spacing w:after="0" w:line="240" w:lineRule="auto"/>
              <w:ind w:left="144" w:hanging="144"/>
              <w:rPr>
                <w:rFonts w:ascii="Times New Roman" w:eastAsia="Times New Roman" w:hAnsi="Times New Roman" w:cs="Times New Roman"/>
                <w:color w:val="000000"/>
                <w:sz w:val="20"/>
                <w:szCs w:val="20"/>
                <w:lang w:val="en-US"/>
              </w:rPr>
            </w:pPr>
          </w:p>
          <w:p w14:paraId="44975F12" w14:textId="77777777" w:rsidR="008A76AF" w:rsidRPr="00E969CC"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Problem Improvement Rating demonstrated that 70% of clients clearly improved, 2% clearly worsened.</w:t>
            </w:r>
          </w:p>
        </w:tc>
        <w:tc>
          <w:tcPr>
            <w:tcW w:w="3060" w:type="dxa"/>
            <w:tcBorders>
              <w:top w:val="single" w:sz="4" w:space="0" w:color="auto"/>
              <w:left w:val="nil"/>
              <w:bottom w:val="single" w:sz="4" w:space="0" w:color="auto"/>
              <w:right w:val="nil"/>
            </w:tcBorders>
            <w:shd w:val="clear" w:color="auto" w:fill="auto"/>
            <w:hideMark/>
          </w:tcPr>
          <w:p w14:paraId="7E27075B" w14:textId="77777777" w:rsidR="008A76AF" w:rsidRPr="00E969CC" w:rsidRDefault="008A76AF" w:rsidP="008A76AF">
            <w:pPr>
              <w:spacing w:after="0" w:line="240" w:lineRule="auto"/>
              <w:ind w:left="144" w:hanging="144"/>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Statistically significant improvements in: OQ Total Score, Social Role score, Global Assessment of Functioning Score, and Performance Improvement Rating for both groups.</w:t>
            </w:r>
          </w:p>
        </w:tc>
      </w:tr>
    </w:tbl>
    <w:p w14:paraId="7FCAFACE" w14:textId="77777777" w:rsidR="00E969CC" w:rsidRDefault="00E969CC" w:rsidP="008654D6">
      <w:pPr>
        <w:rPr>
          <w:rFonts w:ascii="Times New Roman" w:hAnsi="Times New Roman" w:cs="Times New Roman"/>
          <w:sz w:val="24"/>
          <w:szCs w:val="24"/>
        </w:rPr>
      </w:pPr>
    </w:p>
    <w:p w14:paraId="2904AAAC" w14:textId="77777777" w:rsidR="00D747B7" w:rsidRDefault="00D747B7" w:rsidP="008654D6">
      <w:pPr>
        <w:rPr>
          <w:rFonts w:ascii="Times New Roman" w:hAnsi="Times New Roman" w:cs="Times New Roman"/>
          <w:sz w:val="24"/>
          <w:szCs w:val="24"/>
        </w:rPr>
      </w:pPr>
    </w:p>
    <w:p w14:paraId="33144973" w14:textId="77777777" w:rsidR="00D747B7" w:rsidRDefault="00D747B7" w:rsidP="008654D6">
      <w:pPr>
        <w:rPr>
          <w:rFonts w:ascii="Times New Roman" w:hAnsi="Times New Roman" w:cs="Times New Roman"/>
          <w:sz w:val="24"/>
          <w:szCs w:val="24"/>
        </w:rPr>
      </w:pPr>
    </w:p>
    <w:p w14:paraId="2C5286C3" w14:textId="77777777" w:rsidR="00A34A25" w:rsidRDefault="00A34A25" w:rsidP="008654D6">
      <w:pPr>
        <w:rPr>
          <w:rFonts w:ascii="Times New Roman" w:hAnsi="Times New Roman" w:cs="Times New Roman"/>
          <w:sz w:val="24"/>
          <w:szCs w:val="24"/>
        </w:rPr>
      </w:pPr>
    </w:p>
    <w:p w14:paraId="7508B357" w14:textId="77777777" w:rsidR="00A34A25" w:rsidRDefault="00A34A25" w:rsidP="008654D6">
      <w:pPr>
        <w:rPr>
          <w:rFonts w:ascii="Times New Roman" w:hAnsi="Times New Roman" w:cs="Times New Roman"/>
          <w:sz w:val="24"/>
          <w:szCs w:val="24"/>
        </w:rPr>
      </w:pPr>
      <w:r>
        <w:rPr>
          <w:rFonts w:ascii="Times New Roman" w:hAnsi="Times New Roman" w:cs="Times New Roman"/>
          <w:sz w:val="24"/>
          <w:szCs w:val="24"/>
        </w:rPr>
        <w:lastRenderedPageBreak/>
        <w:t>Table 3</w:t>
      </w:r>
    </w:p>
    <w:p w14:paraId="69D4FBE7" w14:textId="77777777" w:rsidR="00D747B7" w:rsidRPr="00A34A25" w:rsidRDefault="00A34A25" w:rsidP="008654D6">
      <w:pPr>
        <w:rPr>
          <w:rFonts w:ascii="Times New Roman" w:hAnsi="Times New Roman" w:cs="Times New Roman"/>
          <w:i/>
          <w:sz w:val="24"/>
          <w:szCs w:val="24"/>
        </w:rPr>
      </w:pPr>
      <w:r w:rsidRPr="00A34A25">
        <w:rPr>
          <w:rFonts w:ascii="Times New Roman" w:hAnsi="Times New Roman" w:cs="Times New Roman"/>
          <w:i/>
          <w:sz w:val="24"/>
          <w:szCs w:val="24"/>
        </w:rPr>
        <w:t xml:space="preserve">Outcome Study Summaries Continued </w:t>
      </w:r>
    </w:p>
    <w:tbl>
      <w:tblPr>
        <w:tblW w:w="12960" w:type="dxa"/>
        <w:tblCellMar>
          <w:left w:w="72" w:type="dxa"/>
          <w:right w:w="72" w:type="dxa"/>
        </w:tblCellMar>
        <w:tblLook w:val="04A0" w:firstRow="1" w:lastRow="0" w:firstColumn="1" w:lastColumn="0" w:noHBand="0" w:noVBand="1"/>
      </w:tblPr>
      <w:tblGrid>
        <w:gridCol w:w="1440"/>
        <w:gridCol w:w="2700"/>
        <w:gridCol w:w="2880"/>
        <w:gridCol w:w="3150"/>
        <w:gridCol w:w="2790"/>
      </w:tblGrid>
      <w:tr w:rsidR="00273B76" w:rsidRPr="00273B76" w14:paraId="2B377172" w14:textId="77777777" w:rsidTr="00526100">
        <w:trPr>
          <w:trHeight w:val="540"/>
        </w:trPr>
        <w:tc>
          <w:tcPr>
            <w:tcW w:w="1440" w:type="dxa"/>
            <w:tcBorders>
              <w:top w:val="single" w:sz="4" w:space="0" w:color="auto"/>
              <w:left w:val="nil"/>
              <w:right w:val="nil"/>
            </w:tcBorders>
            <w:vAlign w:val="bottom"/>
          </w:tcPr>
          <w:p w14:paraId="2AD0AAF4" w14:textId="77777777" w:rsidR="00273B76" w:rsidRPr="00273B76" w:rsidRDefault="00273B76" w:rsidP="009E1FD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Author</w:t>
            </w:r>
          </w:p>
        </w:tc>
        <w:tc>
          <w:tcPr>
            <w:tcW w:w="2700" w:type="dxa"/>
            <w:tcBorders>
              <w:top w:val="single" w:sz="4" w:space="0" w:color="auto"/>
              <w:left w:val="nil"/>
              <w:right w:val="nil"/>
            </w:tcBorders>
            <w:shd w:val="clear" w:color="auto" w:fill="auto"/>
            <w:vAlign w:val="bottom"/>
            <w:hideMark/>
          </w:tcPr>
          <w:p w14:paraId="223B2AE9" w14:textId="77777777" w:rsidR="00273B76" w:rsidRPr="00273B76" w:rsidRDefault="00273B76" w:rsidP="009E1FD5">
            <w:pPr>
              <w:spacing w:after="0"/>
              <w:jc w:val="center"/>
              <w:rPr>
                <w:rFonts w:ascii="Times New Roman" w:hAnsi="Times New Roman" w:cs="Times New Roman"/>
                <w:color w:val="000000"/>
                <w:sz w:val="20"/>
                <w:szCs w:val="20"/>
                <w:lang w:val="en-US"/>
              </w:rPr>
            </w:pPr>
            <w:r w:rsidRPr="00273B76">
              <w:rPr>
                <w:rFonts w:ascii="Times New Roman" w:hAnsi="Times New Roman" w:cs="Times New Roman"/>
                <w:color w:val="000000"/>
                <w:sz w:val="20"/>
                <w:szCs w:val="20"/>
              </w:rPr>
              <w:t xml:space="preserve">Jacobson Frey, Jones, </w:t>
            </w:r>
            <w:r>
              <w:rPr>
                <w:rFonts w:ascii="Times New Roman" w:hAnsi="Times New Roman" w:cs="Times New Roman"/>
                <w:color w:val="000000"/>
                <w:sz w:val="20"/>
                <w:szCs w:val="20"/>
              </w:rPr>
              <w:t xml:space="preserve">&amp; </w:t>
            </w:r>
            <w:r w:rsidRPr="00273B76">
              <w:rPr>
                <w:rFonts w:ascii="Times New Roman" w:hAnsi="Times New Roman" w:cs="Times New Roman"/>
                <w:color w:val="000000"/>
                <w:sz w:val="20"/>
                <w:szCs w:val="20"/>
              </w:rPr>
              <w:t>Bower</w:t>
            </w:r>
            <w:r>
              <w:rPr>
                <w:rFonts w:ascii="Times New Roman" w:hAnsi="Times New Roman" w:cs="Times New Roman"/>
                <w:color w:val="000000"/>
                <w:sz w:val="20"/>
                <w:szCs w:val="20"/>
              </w:rPr>
              <w:t>s</w:t>
            </w:r>
          </w:p>
        </w:tc>
        <w:tc>
          <w:tcPr>
            <w:tcW w:w="2880" w:type="dxa"/>
            <w:tcBorders>
              <w:top w:val="single" w:sz="4" w:space="0" w:color="auto"/>
              <w:left w:val="nil"/>
              <w:right w:val="nil"/>
            </w:tcBorders>
            <w:shd w:val="clear" w:color="auto" w:fill="auto"/>
            <w:vAlign w:val="bottom"/>
            <w:hideMark/>
          </w:tcPr>
          <w:p w14:paraId="52E9DF12" w14:textId="77777777" w:rsidR="00273B76" w:rsidRPr="00273B76" w:rsidRDefault="00273B76" w:rsidP="009E1FD5">
            <w:pPr>
              <w:spacing w:after="0"/>
              <w:jc w:val="center"/>
              <w:rPr>
                <w:rFonts w:ascii="Times New Roman" w:hAnsi="Times New Roman" w:cs="Times New Roman"/>
                <w:color w:val="000000"/>
                <w:sz w:val="20"/>
                <w:szCs w:val="20"/>
              </w:rPr>
            </w:pPr>
            <w:r w:rsidRPr="00273B76">
              <w:rPr>
                <w:rFonts w:ascii="Times New Roman" w:hAnsi="Times New Roman" w:cs="Times New Roman"/>
                <w:color w:val="000000"/>
                <w:sz w:val="20"/>
                <w:szCs w:val="20"/>
              </w:rPr>
              <w:t>Li, Sharar, Lennox, &amp; Zhuang</w:t>
            </w:r>
          </w:p>
        </w:tc>
        <w:tc>
          <w:tcPr>
            <w:tcW w:w="3150" w:type="dxa"/>
            <w:tcBorders>
              <w:top w:val="single" w:sz="4" w:space="0" w:color="auto"/>
              <w:left w:val="nil"/>
              <w:right w:val="nil"/>
            </w:tcBorders>
            <w:shd w:val="clear" w:color="auto" w:fill="auto"/>
            <w:vAlign w:val="bottom"/>
            <w:hideMark/>
          </w:tcPr>
          <w:p w14:paraId="711F98BE" w14:textId="77777777" w:rsidR="00273B76" w:rsidRPr="00273B76" w:rsidRDefault="00273B76" w:rsidP="009E1FD5">
            <w:pPr>
              <w:spacing w:after="0"/>
              <w:jc w:val="center"/>
              <w:rPr>
                <w:rFonts w:ascii="Times New Roman" w:hAnsi="Times New Roman" w:cs="Times New Roman"/>
                <w:color w:val="222222"/>
                <w:sz w:val="20"/>
                <w:szCs w:val="20"/>
              </w:rPr>
            </w:pPr>
            <w:r w:rsidRPr="00273B76">
              <w:rPr>
                <w:rFonts w:ascii="Times New Roman" w:hAnsi="Times New Roman" w:cs="Times New Roman"/>
                <w:color w:val="222222"/>
                <w:sz w:val="20"/>
                <w:szCs w:val="20"/>
              </w:rPr>
              <w:t>Mellor-Clark, John, Twigg, Elspeth, Farrell, Eugene, Kinder,</w:t>
            </w:r>
            <w:r>
              <w:rPr>
                <w:rFonts w:ascii="Times New Roman" w:hAnsi="Times New Roman" w:cs="Times New Roman"/>
                <w:color w:val="222222"/>
                <w:sz w:val="20"/>
                <w:szCs w:val="20"/>
              </w:rPr>
              <w:t xml:space="preserve"> &amp;</w:t>
            </w:r>
            <w:r w:rsidRPr="00273B76">
              <w:rPr>
                <w:rFonts w:ascii="Times New Roman" w:hAnsi="Times New Roman" w:cs="Times New Roman"/>
                <w:color w:val="222222"/>
                <w:sz w:val="20"/>
                <w:szCs w:val="20"/>
              </w:rPr>
              <w:t xml:space="preserve"> Andrew</w:t>
            </w:r>
          </w:p>
        </w:tc>
        <w:tc>
          <w:tcPr>
            <w:tcW w:w="2790" w:type="dxa"/>
            <w:tcBorders>
              <w:top w:val="single" w:sz="4" w:space="0" w:color="auto"/>
              <w:left w:val="nil"/>
              <w:right w:val="nil"/>
            </w:tcBorders>
            <w:shd w:val="clear" w:color="auto" w:fill="auto"/>
            <w:vAlign w:val="bottom"/>
            <w:hideMark/>
          </w:tcPr>
          <w:p w14:paraId="64339DBE" w14:textId="77777777" w:rsidR="00273B76" w:rsidRPr="00273B76" w:rsidRDefault="00273B76" w:rsidP="009E1FD5">
            <w:pPr>
              <w:spacing w:after="0"/>
              <w:jc w:val="center"/>
              <w:rPr>
                <w:rFonts w:ascii="Times New Roman" w:hAnsi="Times New Roman" w:cs="Times New Roman"/>
                <w:color w:val="000000"/>
                <w:sz w:val="20"/>
                <w:szCs w:val="20"/>
              </w:rPr>
            </w:pPr>
            <w:r w:rsidRPr="00273B76">
              <w:rPr>
                <w:rFonts w:ascii="Times New Roman" w:hAnsi="Times New Roman" w:cs="Times New Roman"/>
                <w:color w:val="000000"/>
                <w:sz w:val="20"/>
                <w:szCs w:val="20"/>
              </w:rPr>
              <w:t>Mintzer, Morrow</w:t>
            </w:r>
            <w:r>
              <w:rPr>
                <w:rFonts w:ascii="Times New Roman" w:hAnsi="Times New Roman" w:cs="Times New Roman"/>
                <w:color w:val="000000"/>
                <w:sz w:val="20"/>
                <w:szCs w:val="20"/>
              </w:rPr>
              <w:t>, Tamburo, Sharar, &amp; Herlihy</w:t>
            </w:r>
          </w:p>
        </w:tc>
      </w:tr>
      <w:tr w:rsidR="00273B76" w:rsidRPr="00273B76" w14:paraId="2C07BD50" w14:textId="77777777" w:rsidTr="00526100">
        <w:trPr>
          <w:trHeight w:val="270"/>
        </w:trPr>
        <w:tc>
          <w:tcPr>
            <w:tcW w:w="1440" w:type="dxa"/>
            <w:tcBorders>
              <w:top w:val="nil"/>
              <w:left w:val="nil"/>
              <w:bottom w:val="single" w:sz="4" w:space="0" w:color="auto"/>
              <w:right w:val="nil"/>
            </w:tcBorders>
          </w:tcPr>
          <w:p w14:paraId="0907D9B7" w14:textId="77777777" w:rsidR="00273B76" w:rsidRPr="00273B76" w:rsidRDefault="00273B76" w:rsidP="009E1FD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Year</w:t>
            </w:r>
          </w:p>
        </w:tc>
        <w:tc>
          <w:tcPr>
            <w:tcW w:w="2700" w:type="dxa"/>
            <w:tcBorders>
              <w:top w:val="nil"/>
              <w:left w:val="nil"/>
              <w:bottom w:val="single" w:sz="4" w:space="0" w:color="auto"/>
              <w:right w:val="nil"/>
            </w:tcBorders>
            <w:shd w:val="clear" w:color="auto" w:fill="auto"/>
          </w:tcPr>
          <w:p w14:paraId="0D37F6E8" w14:textId="77777777" w:rsidR="00273B76" w:rsidRPr="00273B76" w:rsidRDefault="00273B76" w:rsidP="009E1FD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2011</w:t>
            </w:r>
          </w:p>
        </w:tc>
        <w:tc>
          <w:tcPr>
            <w:tcW w:w="2880" w:type="dxa"/>
            <w:tcBorders>
              <w:top w:val="nil"/>
              <w:left w:val="nil"/>
              <w:bottom w:val="single" w:sz="4" w:space="0" w:color="auto"/>
              <w:right w:val="nil"/>
            </w:tcBorders>
            <w:shd w:val="clear" w:color="auto" w:fill="auto"/>
          </w:tcPr>
          <w:p w14:paraId="3707E950" w14:textId="77777777" w:rsidR="00273B76" w:rsidRPr="00273B76" w:rsidRDefault="00273B76" w:rsidP="009E1FD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3150" w:type="dxa"/>
            <w:tcBorders>
              <w:top w:val="nil"/>
              <w:left w:val="nil"/>
              <w:bottom w:val="single" w:sz="4" w:space="0" w:color="auto"/>
              <w:right w:val="nil"/>
            </w:tcBorders>
            <w:shd w:val="clear" w:color="auto" w:fill="auto"/>
          </w:tcPr>
          <w:p w14:paraId="458E8365" w14:textId="77777777" w:rsidR="00273B76" w:rsidRPr="00273B76" w:rsidRDefault="00273B76" w:rsidP="009E1FD5">
            <w:pPr>
              <w:spacing w:after="0"/>
              <w:jc w:val="center"/>
              <w:rPr>
                <w:rFonts w:ascii="Times New Roman" w:hAnsi="Times New Roman" w:cs="Times New Roman"/>
                <w:color w:val="222222"/>
                <w:sz w:val="20"/>
                <w:szCs w:val="20"/>
              </w:rPr>
            </w:pPr>
            <w:r>
              <w:rPr>
                <w:rFonts w:ascii="Times New Roman" w:hAnsi="Times New Roman" w:cs="Times New Roman"/>
                <w:color w:val="222222"/>
                <w:sz w:val="20"/>
                <w:szCs w:val="20"/>
              </w:rPr>
              <w:t>2013</w:t>
            </w:r>
          </w:p>
        </w:tc>
        <w:tc>
          <w:tcPr>
            <w:tcW w:w="2790" w:type="dxa"/>
            <w:tcBorders>
              <w:top w:val="nil"/>
              <w:left w:val="nil"/>
              <w:bottom w:val="single" w:sz="4" w:space="0" w:color="auto"/>
              <w:right w:val="nil"/>
            </w:tcBorders>
            <w:shd w:val="clear" w:color="auto" w:fill="auto"/>
          </w:tcPr>
          <w:p w14:paraId="075391A9" w14:textId="77777777" w:rsidR="00273B76" w:rsidRPr="00273B76" w:rsidRDefault="00273B76" w:rsidP="009E1FD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2018</w:t>
            </w:r>
          </w:p>
        </w:tc>
      </w:tr>
      <w:tr w:rsidR="00273B76" w:rsidRPr="00273B76" w14:paraId="52573044" w14:textId="77777777" w:rsidTr="00526100">
        <w:trPr>
          <w:trHeight w:val="819"/>
        </w:trPr>
        <w:tc>
          <w:tcPr>
            <w:tcW w:w="1440" w:type="dxa"/>
            <w:tcBorders>
              <w:top w:val="single" w:sz="4" w:space="0" w:color="auto"/>
              <w:left w:val="nil"/>
              <w:bottom w:val="nil"/>
              <w:right w:val="nil"/>
            </w:tcBorders>
          </w:tcPr>
          <w:p w14:paraId="3FF67364" w14:textId="77777777" w:rsidR="00273B76" w:rsidRPr="00E969CC" w:rsidRDefault="00273B76" w:rsidP="009E1FD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Workplace</w:t>
            </w:r>
          </w:p>
        </w:tc>
        <w:tc>
          <w:tcPr>
            <w:tcW w:w="2700" w:type="dxa"/>
            <w:tcBorders>
              <w:top w:val="single" w:sz="4" w:space="0" w:color="auto"/>
              <w:left w:val="nil"/>
              <w:bottom w:val="nil"/>
              <w:right w:val="nil"/>
            </w:tcBorders>
            <w:shd w:val="clear" w:color="auto" w:fill="auto"/>
            <w:hideMark/>
          </w:tcPr>
          <w:p w14:paraId="6CB5882F"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20 U.S-based companies</w:t>
            </w:r>
          </w:p>
        </w:tc>
        <w:tc>
          <w:tcPr>
            <w:tcW w:w="2880" w:type="dxa"/>
            <w:tcBorders>
              <w:top w:val="single" w:sz="4" w:space="0" w:color="auto"/>
              <w:left w:val="nil"/>
              <w:bottom w:val="nil"/>
              <w:right w:val="nil"/>
            </w:tcBorders>
            <w:shd w:val="clear" w:color="auto" w:fill="auto"/>
            <w:hideMark/>
          </w:tcPr>
          <w:p w14:paraId="0B367082"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26 China-based companies</w:t>
            </w:r>
          </w:p>
        </w:tc>
        <w:tc>
          <w:tcPr>
            <w:tcW w:w="3150" w:type="dxa"/>
            <w:tcBorders>
              <w:top w:val="single" w:sz="4" w:space="0" w:color="auto"/>
              <w:left w:val="nil"/>
              <w:bottom w:val="nil"/>
              <w:right w:val="nil"/>
            </w:tcBorders>
            <w:shd w:val="clear" w:color="auto" w:fill="auto"/>
            <w:hideMark/>
          </w:tcPr>
          <w:p w14:paraId="4286E166"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Undisclosed number of UK workplaces covered by 6 EAP providers</w:t>
            </w:r>
          </w:p>
        </w:tc>
        <w:tc>
          <w:tcPr>
            <w:tcW w:w="2790" w:type="dxa"/>
            <w:tcBorders>
              <w:top w:val="single" w:sz="4" w:space="0" w:color="auto"/>
              <w:left w:val="nil"/>
              <w:bottom w:val="nil"/>
              <w:right w:val="nil"/>
            </w:tcBorders>
            <w:shd w:val="clear" w:color="auto" w:fill="auto"/>
            <w:hideMark/>
          </w:tcPr>
          <w:p w14:paraId="4B81EC68"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360 Federal Agencies</w:t>
            </w:r>
            <w:r w:rsidR="00F8311C">
              <w:rPr>
                <w:rFonts w:ascii="Times New Roman" w:hAnsi="Times New Roman" w:cs="Times New Roman"/>
                <w:color w:val="000000"/>
                <w:sz w:val="20"/>
                <w:szCs w:val="20"/>
              </w:rPr>
              <w:t xml:space="preserve"> (USA)</w:t>
            </w:r>
          </w:p>
        </w:tc>
      </w:tr>
      <w:tr w:rsidR="00273B76" w:rsidRPr="00273B76" w14:paraId="39B5548D" w14:textId="77777777" w:rsidTr="00526100">
        <w:trPr>
          <w:trHeight w:val="300"/>
        </w:trPr>
        <w:tc>
          <w:tcPr>
            <w:tcW w:w="1440" w:type="dxa"/>
            <w:tcBorders>
              <w:top w:val="nil"/>
              <w:left w:val="nil"/>
              <w:bottom w:val="nil"/>
              <w:right w:val="nil"/>
            </w:tcBorders>
          </w:tcPr>
          <w:p w14:paraId="75E37C6A" w14:textId="77777777" w:rsidR="00273B76" w:rsidRPr="00E969CC" w:rsidRDefault="00273B76" w:rsidP="009E1FD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Workforce Size</w:t>
            </w:r>
          </w:p>
        </w:tc>
        <w:tc>
          <w:tcPr>
            <w:tcW w:w="2700" w:type="dxa"/>
            <w:tcBorders>
              <w:top w:val="nil"/>
              <w:left w:val="nil"/>
              <w:bottom w:val="nil"/>
              <w:right w:val="nil"/>
            </w:tcBorders>
            <w:shd w:val="clear" w:color="auto" w:fill="auto"/>
            <w:noWrap/>
            <w:hideMark/>
          </w:tcPr>
          <w:p w14:paraId="3328D4F0"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Not Reported</w:t>
            </w:r>
          </w:p>
        </w:tc>
        <w:tc>
          <w:tcPr>
            <w:tcW w:w="2880" w:type="dxa"/>
            <w:tcBorders>
              <w:top w:val="nil"/>
              <w:left w:val="nil"/>
              <w:bottom w:val="nil"/>
              <w:right w:val="nil"/>
            </w:tcBorders>
            <w:shd w:val="clear" w:color="auto" w:fill="auto"/>
            <w:noWrap/>
            <w:hideMark/>
          </w:tcPr>
          <w:p w14:paraId="407DBA5A"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Not Reported</w:t>
            </w:r>
          </w:p>
        </w:tc>
        <w:tc>
          <w:tcPr>
            <w:tcW w:w="3150" w:type="dxa"/>
            <w:tcBorders>
              <w:top w:val="nil"/>
              <w:left w:val="nil"/>
              <w:bottom w:val="nil"/>
              <w:right w:val="nil"/>
            </w:tcBorders>
            <w:shd w:val="clear" w:color="auto" w:fill="auto"/>
            <w:noWrap/>
            <w:hideMark/>
          </w:tcPr>
          <w:p w14:paraId="3262ED42"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Not Reported</w:t>
            </w:r>
          </w:p>
        </w:tc>
        <w:tc>
          <w:tcPr>
            <w:tcW w:w="2790" w:type="dxa"/>
            <w:tcBorders>
              <w:top w:val="nil"/>
              <w:left w:val="nil"/>
              <w:bottom w:val="nil"/>
              <w:right w:val="nil"/>
            </w:tcBorders>
            <w:shd w:val="clear" w:color="auto" w:fill="auto"/>
            <w:noWrap/>
            <w:hideMark/>
          </w:tcPr>
          <w:p w14:paraId="1834B94C" w14:textId="77777777" w:rsidR="00273B76" w:rsidRPr="00273B76" w:rsidRDefault="00253B0D"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 M</w:t>
            </w:r>
            <w:r w:rsidR="00273B76" w:rsidRPr="00273B76">
              <w:rPr>
                <w:rFonts w:ascii="Times New Roman" w:hAnsi="Times New Roman" w:cs="Times New Roman"/>
                <w:color w:val="000000"/>
                <w:sz w:val="20"/>
                <w:szCs w:val="20"/>
              </w:rPr>
              <w:t>ore than 986,390</w:t>
            </w:r>
          </w:p>
        </w:tc>
      </w:tr>
      <w:tr w:rsidR="00273B76" w:rsidRPr="00273B76" w14:paraId="0688C842" w14:textId="77777777" w:rsidTr="00526100">
        <w:trPr>
          <w:trHeight w:val="300"/>
        </w:trPr>
        <w:tc>
          <w:tcPr>
            <w:tcW w:w="1440" w:type="dxa"/>
            <w:tcBorders>
              <w:top w:val="nil"/>
              <w:left w:val="nil"/>
              <w:bottom w:val="nil"/>
              <w:right w:val="nil"/>
            </w:tcBorders>
          </w:tcPr>
          <w:p w14:paraId="7C798B0C" w14:textId="77777777" w:rsidR="00273B76" w:rsidRPr="00E969CC" w:rsidRDefault="00273B76" w:rsidP="009E1FD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EAP Delivery</w:t>
            </w:r>
          </w:p>
        </w:tc>
        <w:tc>
          <w:tcPr>
            <w:tcW w:w="2700" w:type="dxa"/>
            <w:tcBorders>
              <w:top w:val="nil"/>
              <w:left w:val="nil"/>
              <w:bottom w:val="nil"/>
              <w:right w:val="nil"/>
            </w:tcBorders>
            <w:shd w:val="clear" w:color="auto" w:fill="auto"/>
            <w:hideMark/>
          </w:tcPr>
          <w:p w14:paraId="5DD845CA"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Not Reported</w:t>
            </w:r>
          </w:p>
        </w:tc>
        <w:tc>
          <w:tcPr>
            <w:tcW w:w="2880" w:type="dxa"/>
            <w:tcBorders>
              <w:top w:val="nil"/>
              <w:left w:val="nil"/>
              <w:bottom w:val="nil"/>
              <w:right w:val="nil"/>
            </w:tcBorders>
            <w:shd w:val="clear" w:color="auto" w:fill="auto"/>
            <w:noWrap/>
            <w:hideMark/>
          </w:tcPr>
          <w:p w14:paraId="4CFA4F18"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External</w:t>
            </w:r>
          </w:p>
        </w:tc>
        <w:tc>
          <w:tcPr>
            <w:tcW w:w="3150" w:type="dxa"/>
            <w:tcBorders>
              <w:top w:val="nil"/>
              <w:left w:val="nil"/>
              <w:bottom w:val="nil"/>
              <w:right w:val="nil"/>
            </w:tcBorders>
            <w:shd w:val="clear" w:color="auto" w:fill="auto"/>
            <w:hideMark/>
          </w:tcPr>
          <w:p w14:paraId="39B91719"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External</w:t>
            </w:r>
          </w:p>
        </w:tc>
        <w:tc>
          <w:tcPr>
            <w:tcW w:w="2790" w:type="dxa"/>
            <w:tcBorders>
              <w:top w:val="nil"/>
              <w:left w:val="nil"/>
              <w:bottom w:val="nil"/>
              <w:right w:val="nil"/>
            </w:tcBorders>
            <w:shd w:val="clear" w:color="auto" w:fill="auto"/>
            <w:hideMark/>
          </w:tcPr>
          <w:p w14:paraId="0CB7E996"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External</w:t>
            </w:r>
          </w:p>
        </w:tc>
      </w:tr>
      <w:tr w:rsidR="00273B76" w:rsidRPr="00273B76" w14:paraId="1DCCD2DA" w14:textId="77777777" w:rsidTr="00526100">
        <w:trPr>
          <w:trHeight w:val="2025"/>
        </w:trPr>
        <w:tc>
          <w:tcPr>
            <w:tcW w:w="1440" w:type="dxa"/>
            <w:tcBorders>
              <w:top w:val="nil"/>
              <w:left w:val="nil"/>
              <w:bottom w:val="nil"/>
              <w:right w:val="nil"/>
            </w:tcBorders>
          </w:tcPr>
          <w:p w14:paraId="48773842" w14:textId="77777777" w:rsidR="00273B76" w:rsidRPr="00E969CC" w:rsidRDefault="00273B76" w:rsidP="009E1FD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Method</w:t>
            </w:r>
          </w:p>
        </w:tc>
        <w:tc>
          <w:tcPr>
            <w:tcW w:w="2700" w:type="dxa"/>
            <w:tcBorders>
              <w:top w:val="nil"/>
              <w:left w:val="nil"/>
              <w:bottom w:val="nil"/>
              <w:right w:val="nil"/>
            </w:tcBorders>
            <w:shd w:val="clear" w:color="auto" w:fill="auto"/>
            <w:hideMark/>
          </w:tcPr>
          <w:p w14:paraId="20B6233B" w14:textId="77777777" w:rsid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Chart review </w:t>
            </w:r>
          </w:p>
          <w:p w14:paraId="06724D74" w14:textId="77777777" w:rsidR="009E1FD5" w:rsidRDefault="009E1FD5" w:rsidP="009E1FD5">
            <w:pPr>
              <w:spacing w:after="0"/>
              <w:ind w:left="144" w:hanging="144"/>
              <w:rPr>
                <w:rFonts w:ascii="Times New Roman" w:hAnsi="Times New Roman" w:cs="Times New Roman"/>
                <w:color w:val="000000"/>
                <w:sz w:val="20"/>
                <w:szCs w:val="20"/>
              </w:rPr>
            </w:pPr>
          </w:p>
          <w:p w14:paraId="6A120566" w14:textId="77777777" w:rsid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n=572</w:t>
            </w:r>
          </w:p>
          <w:p w14:paraId="506604FA" w14:textId="77777777" w:rsidR="009E1FD5" w:rsidRDefault="009E1FD5" w:rsidP="009E1FD5">
            <w:pPr>
              <w:spacing w:after="0"/>
              <w:ind w:left="144" w:hanging="144"/>
              <w:rPr>
                <w:rFonts w:ascii="Times New Roman" w:hAnsi="Times New Roman" w:cs="Times New Roman"/>
                <w:color w:val="000000"/>
                <w:sz w:val="20"/>
                <w:szCs w:val="20"/>
              </w:rPr>
            </w:pPr>
          </w:p>
          <w:p w14:paraId="74D9CC60"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GA</w:t>
            </w:r>
            <w:r w:rsidR="009E1FD5">
              <w:rPr>
                <w:rFonts w:ascii="Times New Roman" w:hAnsi="Times New Roman" w:cs="Times New Roman"/>
                <w:color w:val="000000"/>
                <w:sz w:val="20"/>
                <w:szCs w:val="20"/>
              </w:rPr>
              <w:t>F</w:t>
            </w:r>
            <w:r w:rsidRPr="00273B76">
              <w:rPr>
                <w:rFonts w:ascii="Times New Roman" w:hAnsi="Times New Roman" w:cs="Times New Roman"/>
                <w:color w:val="000000"/>
                <w:sz w:val="20"/>
                <w:szCs w:val="20"/>
              </w:rPr>
              <w:t>, Level of Functioning a</w:t>
            </w:r>
            <w:r>
              <w:rPr>
                <w:rFonts w:ascii="Times New Roman" w:hAnsi="Times New Roman" w:cs="Times New Roman"/>
                <w:color w:val="000000"/>
                <w:sz w:val="20"/>
                <w:szCs w:val="20"/>
              </w:rPr>
              <w:t>t Home, LOF at Work scales included</w:t>
            </w:r>
            <w:r w:rsidRPr="00273B76">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t>intake and/or completion of counseling</w:t>
            </w:r>
            <w:r w:rsidRPr="00273B76">
              <w:rPr>
                <w:rFonts w:ascii="Times New Roman" w:hAnsi="Times New Roman" w:cs="Times New Roman"/>
                <w:color w:val="000000"/>
                <w:sz w:val="20"/>
                <w:szCs w:val="20"/>
              </w:rPr>
              <w:t>.</w:t>
            </w:r>
          </w:p>
        </w:tc>
        <w:tc>
          <w:tcPr>
            <w:tcW w:w="2880" w:type="dxa"/>
            <w:tcBorders>
              <w:top w:val="nil"/>
              <w:left w:val="nil"/>
              <w:bottom w:val="nil"/>
              <w:right w:val="nil"/>
            </w:tcBorders>
            <w:shd w:val="clear" w:color="auto" w:fill="auto"/>
            <w:hideMark/>
          </w:tcPr>
          <w:p w14:paraId="62826BBE" w14:textId="77777777" w:rsid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P</w:t>
            </w:r>
            <w:r>
              <w:rPr>
                <w:rFonts w:ascii="Times New Roman" w:hAnsi="Times New Roman" w:cs="Times New Roman"/>
                <w:color w:val="000000"/>
                <w:sz w:val="20"/>
                <w:szCs w:val="20"/>
              </w:rPr>
              <w:t>re-post completion of WO</w:t>
            </w:r>
            <w:r w:rsidRPr="00273B76">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p>
          <w:p w14:paraId="406C5561" w14:textId="77777777" w:rsidR="009E1FD5" w:rsidRDefault="009E1FD5" w:rsidP="009E1FD5">
            <w:pPr>
              <w:spacing w:after="0"/>
              <w:ind w:left="144" w:hanging="144"/>
              <w:rPr>
                <w:rFonts w:ascii="Times New Roman" w:hAnsi="Times New Roman" w:cs="Times New Roman"/>
                <w:color w:val="000000"/>
                <w:sz w:val="20"/>
                <w:szCs w:val="20"/>
              </w:rPr>
            </w:pPr>
          </w:p>
          <w:p w14:paraId="17143FA9"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n=</w:t>
            </w:r>
            <w:r w:rsidRPr="00273B76">
              <w:rPr>
                <w:rFonts w:ascii="Times New Roman" w:hAnsi="Times New Roman" w:cs="Times New Roman"/>
                <w:color w:val="000000"/>
                <w:sz w:val="20"/>
                <w:szCs w:val="20"/>
              </w:rPr>
              <w:t>670</w:t>
            </w:r>
          </w:p>
        </w:tc>
        <w:tc>
          <w:tcPr>
            <w:tcW w:w="3150" w:type="dxa"/>
            <w:tcBorders>
              <w:top w:val="nil"/>
              <w:left w:val="nil"/>
              <w:bottom w:val="nil"/>
              <w:right w:val="nil"/>
            </w:tcBorders>
            <w:shd w:val="clear" w:color="auto" w:fill="auto"/>
            <w:hideMark/>
          </w:tcPr>
          <w:p w14:paraId="7EDAEC90" w14:textId="77777777" w:rsid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 xml:space="preserve">Retrospective observational. </w:t>
            </w:r>
          </w:p>
          <w:p w14:paraId="2FB25D07" w14:textId="77777777" w:rsidR="009E1FD5" w:rsidRDefault="009E1FD5" w:rsidP="009E1FD5">
            <w:pPr>
              <w:spacing w:after="0"/>
              <w:ind w:left="144" w:hanging="144"/>
              <w:rPr>
                <w:rFonts w:ascii="Times New Roman" w:hAnsi="Times New Roman" w:cs="Times New Roman"/>
                <w:color w:val="000000"/>
                <w:sz w:val="20"/>
                <w:szCs w:val="20"/>
              </w:rPr>
            </w:pPr>
          </w:p>
          <w:p w14:paraId="68A7B42D" w14:textId="77777777" w:rsid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 xml:space="preserve">Files from EAP </w:t>
            </w:r>
            <w:r>
              <w:rPr>
                <w:rFonts w:ascii="Times New Roman" w:hAnsi="Times New Roman" w:cs="Times New Roman"/>
                <w:color w:val="000000"/>
                <w:sz w:val="20"/>
                <w:szCs w:val="20"/>
              </w:rPr>
              <w:t>services utilizing CORE System</w:t>
            </w:r>
          </w:p>
          <w:p w14:paraId="04B80C00" w14:textId="77777777" w:rsidR="009E1FD5" w:rsidRDefault="009E1FD5" w:rsidP="009E1FD5">
            <w:pPr>
              <w:spacing w:after="0"/>
              <w:ind w:left="144" w:hanging="144"/>
              <w:rPr>
                <w:rFonts w:ascii="Times New Roman" w:hAnsi="Times New Roman" w:cs="Times New Roman"/>
                <w:color w:val="000000"/>
                <w:sz w:val="20"/>
                <w:szCs w:val="20"/>
              </w:rPr>
            </w:pPr>
          </w:p>
          <w:p w14:paraId="23B113D3"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n=</w:t>
            </w:r>
            <w:r w:rsidRPr="00273B76">
              <w:rPr>
                <w:rFonts w:ascii="Times New Roman" w:hAnsi="Times New Roman" w:cs="Times New Roman"/>
                <w:color w:val="000000"/>
                <w:sz w:val="20"/>
                <w:szCs w:val="20"/>
              </w:rPr>
              <w:t>28,476</w:t>
            </w:r>
          </w:p>
        </w:tc>
        <w:tc>
          <w:tcPr>
            <w:tcW w:w="2790" w:type="dxa"/>
            <w:tcBorders>
              <w:top w:val="nil"/>
              <w:left w:val="nil"/>
              <w:bottom w:val="nil"/>
              <w:right w:val="nil"/>
            </w:tcBorders>
            <w:shd w:val="clear" w:color="auto" w:fill="auto"/>
            <w:hideMark/>
          </w:tcPr>
          <w:p w14:paraId="5B52457D" w14:textId="77777777" w:rsid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Pre-post completion of W</w:t>
            </w:r>
            <w:r>
              <w:rPr>
                <w:rFonts w:ascii="Times New Roman" w:hAnsi="Times New Roman" w:cs="Times New Roman"/>
                <w:color w:val="000000"/>
                <w:sz w:val="20"/>
                <w:szCs w:val="20"/>
              </w:rPr>
              <w:t>O</w:t>
            </w:r>
            <w:r w:rsidRPr="00273B76">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p>
          <w:p w14:paraId="7E40C351" w14:textId="77777777" w:rsidR="009E1FD5" w:rsidRDefault="009E1FD5" w:rsidP="009E1FD5">
            <w:pPr>
              <w:spacing w:after="0"/>
              <w:ind w:left="144" w:hanging="144"/>
              <w:rPr>
                <w:rFonts w:ascii="Times New Roman" w:hAnsi="Times New Roman" w:cs="Times New Roman"/>
                <w:color w:val="000000"/>
                <w:sz w:val="20"/>
                <w:szCs w:val="20"/>
              </w:rPr>
            </w:pPr>
          </w:p>
          <w:p w14:paraId="159204BF"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n=4800</w:t>
            </w:r>
          </w:p>
        </w:tc>
      </w:tr>
      <w:tr w:rsidR="00273B76" w:rsidRPr="00273B76" w14:paraId="502F1CB1" w14:textId="77777777" w:rsidTr="00526100">
        <w:trPr>
          <w:trHeight w:val="477"/>
        </w:trPr>
        <w:tc>
          <w:tcPr>
            <w:tcW w:w="1440" w:type="dxa"/>
            <w:tcBorders>
              <w:top w:val="nil"/>
              <w:left w:val="nil"/>
              <w:right w:val="nil"/>
            </w:tcBorders>
          </w:tcPr>
          <w:p w14:paraId="55C1C944" w14:textId="77777777" w:rsidR="00273B76" w:rsidRPr="00E969CC" w:rsidRDefault="00273B76" w:rsidP="009E1FD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Study Time Frame</w:t>
            </w:r>
          </w:p>
        </w:tc>
        <w:tc>
          <w:tcPr>
            <w:tcW w:w="2700" w:type="dxa"/>
            <w:tcBorders>
              <w:top w:val="nil"/>
              <w:left w:val="nil"/>
              <w:right w:val="nil"/>
            </w:tcBorders>
            <w:shd w:val="clear" w:color="auto" w:fill="auto"/>
            <w:hideMark/>
          </w:tcPr>
          <w:p w14:paraId="065307E7"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F</w:t>
            </w:r>
            <w:r w:rsidRPr="00273B76">
              <w:rPr>
                <w:rFonts w:ascii="Times New Roman" w:hAnsi="Times New Roman" w:cs="Times New Roman"/>
                <w:color w:val="000000"/>
                <w:sz w:val="20"/>
                <w:szCs w:val="20"/>
              </w:rPr>
              <w:t>iles closed during 2007</w:t>
            </w:r>
          </w:p>
        </w:tc>
        <w:tc>
          <w:tcPr>
            <w:tcW w:w="2880" w:type="dxa"/>
            <w:tcBorders>
              <w:top w:val="nil"/>
              <w:left w:val="nil"/>
              <w:right w:val="nil"/>
            </w:tcBorders>
            <w:shd w:val="clear" w:color="auto" w:fill="auto"/>
            <w:noWrap/>
            <w:hideMark/>
          </w:tcPr>
          <w:p w14:paraId="3A62E65C"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May 2012-July 2013</w:t>
            </w:r>
          </w:p>
        </w:tc>
        <w:tc>
          <w:tcPr>
            <w:tcW w:w="3150" w:type="dxa"/>
            <w:tcBorders>
              <w:top w:val="nil"/>
              <w:left w:val="nil"/>
              <w:right w:val="nil"/>
            </w:tcBorders>
            <w:shd w:val="clear" w:color="auto" w:fill="auto"/>
            <w:hideMark/>
          </w:tcPr>
          <w:p w14:paraId="7F2C2F29"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Data from 2001-2011</w:t>
            </w:r>
          </w:p>
        </w:tc>
        <w:tc>
          <w:tcPr>
            <w:tcW w:w="2790" w:type="dxa"/>
            <w:tcBorders>
              <w:top w:val="nil"/>
              <w:left w:val="nil"/>
              <w:right w:val="nil"/>
            </w:tcBorders>
            <w:shd w:val="clear" w:color="auto" w:fill="auto"/>
            <w:hideMark/>
          </w:tcPr>
          <w:p w14:paraId="5D1A2CA2" w14:textId="77777777"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2 years (2016 and 2017)</w:t>
            </w:r>
          </w:p>
        </w:tc>
      </w:tr>
      <w:tr w:rsidR="00273B76" w:rsidRPr="00273B76" w14:paraId="046A27BF" w14:textId="77777777" w:rsidTr="00526100">
        <w:trPr>
          <w:trHeight w:val="2340"/>
        </w:trPr>
        <w:tc>
          <w:tcPr>
            <w:tcW w:w="1440" w:type="dxa"/>
            <w:tcBorders>
              <w:top w:val="nil"/>
              <w:left w:val="nil"/>
              <w:bottom w:val="single" w:sz="4" w:space="0" w:color="auto"/>
              <w:right w:val="nil"/>
            </w:tcBorders>
          </w:tcPr>
          <w:p w14:paraId="3A6C83F9" w14:textId="77777777" w:rsidR="00273B76" w:rsidRPr="00E969CC" w:rsidRDefault="00273B76" w:rsidP="009E1FD5">
            <w:pPr>
              <w:spacing w:after="0" w:line="240" w:lineRule="auto"/>
              <w:rPr>
                <w:rFonts w:ascii="Times New Roman" w:eastAsia="Times New Roman" w:hAnsi="Times New Roman" w:cs="Times New Roman"/>
                <w:color w:val="000000"/>
                <w:sz w:val="20"/>
                <w:szCs w:val="20"/>
                <w:lang w:val="en-US"/>
              </w:rPr>
            </w:pPr>
            <w:r w:rsidRPr="00E969CC">
              <w:rPr>
                <w:rFonts w:ascii="Times New Roman" w:eastAsia="Times New Roman" w:hAnsi="Times New Roman" w:cs="Times New Roman"/>
                <w:color w:val="000000"/>
                <w:sz w:val="20"/>
                <w:szCs w:val="20"/>
                <w:lang w:val="en-US"/>
              </w:rPr>
              <w:t>Variables Examined</w:t>
            </w:r>
          </w:p>
        </w:tc>
        <w:tc>
          <w:tcPr>
            <w:tcW w:w="2700" w:type="dxa"/>
            <w:tcBorders>
              <w:top w:val="nil"/>
              <w:left w:val="nil"/>
              <w:bottom w:val="single" w:sz="4" w:space="0" w:color="auto"/>
              <w:right w:val="nil"/>
            </w:tcBorders>
            <w:shd w:val="clear" w:color="auto" w:fill="auto"/>
            <w:hideMark/>
          </w:tcPr>
          <w:p w14:paraId="700FC0D8" w14:textId="77777777" w:rsid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GAF</w:t>
            </w:r>
            <w:r w:rsidRPr="00273B76">
              <w:rPr>
                <w:rFonts w:ascii="Times New Roman" w:hAnsi="Times New Roman" w:cs="Times New Roman"/>
                <w:color w:val="000000"/>
                <w:sz w:val="20"/>
                <w:szCs w:val="20"/>
              </w:rPr>
              <w:t xml:space="preserve"> reports clinician's judgment of a client's overall level of functioning. </w:t>
            </w:r>
          </w:p>
          <w:p w14:paraId="2766130F" w14:textId="77777777" w:rsidR="009E1FD5" w:rsidRDefault="009E1FD5" w:rsidP="009E1FD5">
            <w:pPr>
              <w:spacing w:after="0"/>
              <w:ind w:left="144" w:hanging="144"/>
              <w:rPr>
                <w:rFonts w:ascii="Times New Roman" w:hAnsi="Times New Roman" w:cs="Times New Roman"/>
                <w:color w:val="000000"/>
                <w:sz w:val="20"/>
                <w:szCs w:val="20"/>
              </w:rPr>
            </w:pPr>
          </w:p>
          <w:p w14:paraId="11F5F234" w14:textId="77777777" w:rsidR="00273B76" w:rsidRPr="00273B76" w:rsidRDefault="00273B76"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LO</w:t>
            </w:r>
            <w:r w:rsidRPr="00273B76">
              <w:rPr>
                <w:rFonts w:ascii="Times New Roman" w:hAnsi="Times New Roman" w:cs="Times New Roman"/>
                <w:color w:val="000000"/>
                <w:sz w:val="20"/>
                <w:szCs w:val="20"/>
              </w:rPr>
              <w:t>F scales assess activities of daily living and quality of life changes, as rated by a clinician.</w:t>
            </w:r>
          </w:p>
        </w:tc>
        <w:tc>
          <w:tcPr>
            <w:tcW w:w="2880" w:type="dxa"/>
            <w:tcBorders>
              <w:top w:val="nil"/>
              <w:left w:val="nil"/>
              <w:bottom w:val="single" w:sz="4" w:space="0" w:color="auto"/>
              <w:right w:val="nil"/>
            </w:tcBorders>
            <w:shd w:val="clear" w:color="auto" w:fill="auto"/>
            <w:hideMark/>
          </w:tcPr>
          <w:p w14:paraId="235980DF" w14:textId="5C001846" w:rsidR="00273B76" w:rsidRPr="00273B76" w:rsidRDefault="009E1FD5"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WOS identifies a</w:t>
            </w:r>
            <w:r w:rsidR="00273B76" w:rsidRPr="00273B76">
              <w:rPr>
                <w:rFonts w:ascii="Times New Roman" w:hAnsi="Times New Roman" w:cs="Times New Roman"/>
                <w:color w:val="000000"/>
                <w:sz w:val="20"/>
                <w:szCs w:val="20"/>
              </w:rPr>
              <w:t>bsenteeism, presenteeism, work engagement, workplace distress, and life satisfaction</w:t>
            </w:r>
            <w:r w:rsidR="001C0210">
              <w:rPr>
                <w:rFonts w:ascii="Times New Roman" w:hAnsi="Times New Roman" w:cs="Times New Roman"/>
                <w:color w:val="000000"/>
                <w:sz w:val="20"/>
                <w:szCs w:val="20"/>
              </w:rPr>
              <w:t>.</w:t>
            </w:r>
          </w:p>
        </w:tc>
        <w:tc>
          <w:tcPr>
            <w:tcW w:w="3150" w:type="dxa"/>
            <w:tcBorders>
              <w:top w:val="nil"/>
              <w:left w:val="nil"/>
              <w:bottom w:val="single" w:sz="4" w:space="0" w:color="auto"/>
              <w:right w:val="nil"/>
            </w:tcBorders>
            <w:shd w:val="clear" w:color="auto" w:fill="auto"/>
            <w:hideMark/>
          </w:tcPr>
          <w:p w14:paraId="3BB1A588" w14:textId="0AB014BF" w:rsidR="00273B76" w:rsidRPr="00273B76" w:rsidRDefault="00273B76" w:rsidP="009E1FD5">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Levels of distress, Time to treatment access, Treatment completion rates, Recovery/improvement rates</w:t>
            </w:r>
            <w:r w:rsidR="001C0210">
              <w:rPr>
                <w:rFonts w:ascii="Times New Roman" w:hAnsi="Times New Roman" w:cs="Times New Roman"/>
                <w:color w:val="000000"/>
                <w:sz w:val="20"/>
                <w:szCs w:val="20"/>
              </w:rPr>
              <w:t>.</w:t>
            </w:r>
          </w:p>
        </w:tc>
        <w:tc>
          <w:tcPr>
            <w:tcW w:w="2790" w:type="dxa"/>
            <w:tcBorders>
              <w:top w:val="nil"/>
              <w:left w:val="nil"/>
              <w:bottom w:val="single" w:sz="4" w:space="0" w:color="auto"/>
              <w:right w:val="nil"/>
            </w:tcBorders>
            <w:shd w:val="clear" w:color="auto" w:fill="auto"/>
            <w:hideMark/>
          </w:tcPr>
          <w:p w14:paraId="292826ED" w14:textId="77777777" w:rsidR="00273B76" w:rsidRPr="00273B76" w:rsidRDefault="009E1FD5" w:rsidP="009E1FD5">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WOS identifies a</w:t>
            </w:r>
            <w:r w:rsidR="00273B76" w:rsidRPr="00273B76">
              <w:rPr>
                <w:rFonts w:ascii="Times New Roman" w:hAnsi="Times New Roman" w:cs="Times New Roman"/>
                <w:color w:val="000000"/>
                <w:sz w:val="20"/>
                <w:szCs w:val="20"/>
              </w:rPr>
              <w:t>bsenteeism, presenteeism, work engagement, life satisfaction and workplace distress.</w:t>
            </w:r>
          </w:p>
        </w:tc>
      </w:tr>
    </w:tbl>
    <w:p w14:paraId="77836F19" w14:textId="77777777" w:rsidR="00A34A25" w:rsidRDefault="00A34A25"/>
    <w:p w14:paraId="084A1270" w14:textId="77777777" w:rsidR="00A34A25" w:rsidRDefault="00A34A25"/>
    <w:p w14:paraId="1CB20C03" w14:textId="77777777" w:rsidR="00A34A25" w:rsidRDefault="00A34A25"/>
    <w:p w14:paraId="758380D7" w14:textId="77777777" w:rsidR="00A34A25" w:rsidRPr="00A34A25" w:rsidRDefault="00A34A25">
      <w:pPr>
        <w:rPr>
          <w:rFonts w:ascii="Times New Roman" w:hAnsi="Times New Roman" w:cs="Times New Roman"/>
          <w:sz w:val="24"/>
          <w:szCs w:val="24"/>
        </w:rPr>
      </w:pPr>
      <w:r w:rsidRPr="00A34A25">
        <w:rPr>
          <w:rFonts w:ascii="Times New Roman" w:hAnsi="Times New Roman" w:cs="Times New Roman"/>
          <w:sz w:val="24"/>
          <w:szCs w:val="24"/>
        </w:rPr>
        <w:lastRenderedPageBreak/>
        <w:t>Table 3</w:t>
      </w:r>
    </w:p>
    <w:p w14:paraId="50F2A952" w14:textId="77777777" w:rsidR="00A34A25" w:rsidRPr="00A34A25" w:rsidRDefault="00A34A25">
      <w:pPr>
        <w:rPr>
          <w:rFonts w:ascii="Times New Roman" w:hAnsi="Times New Roman" w:cs="Times New Roman"/>
          <w:i/>
          <w:sz w:val="24"/>
          <w:szCs w:val="24"/>
        </w:rPr>
      </w:pPr>
      <w:r w:rsidRPr="00A34A25">
        <w:rPr>
          <w:rFonts w:ascii="Times New Roman" w:hAnsi="Times New Roman" w:cs="Times New Roman"/>
          <w:i/>
          <w:sz w:val="24"/>
          <w:szCs w:val="24"/>
        </w:rPr>
        <w:t xml:space="preserve">Outcome Study Summaries Continued </w:t>
      </w:r>
    </w:p>
    <w:tbl>
      <w:tblPr>
        <w:tblW w:w="12960" w:type="dxa"/>
        <w:tblCellMar>
          <w:left w:w="72" w:type="dxa"/>
          <w:right w:w="72" w:type="dxa"/>
        </w:tblCellMar>
        <w:tblLook w:val="04A0" w:firstRow="1" w:lastRow="0" w:firstColumn="1" w:lastColumn="0" w:noHBand="0" w:noVBand="1"/>
      </w:tblPr>
      <w:tblGrid>
        <w:gridCol w:w="1440"/>
        <w:gridCol w:w="2700"/>
        <w:gridCol w:w="2880"/>
        <w:gridCol w:w="3150"/>
        <w:gridCol w:w="2790"/>
      </w:tblGrid>
      <w:tr w:rsidR="00253B0D" w:rsidRPr="00273B76" w14:paraId="0CC8DCDF" w14:textId="77777777" w:rsidTr="00526100">
        <w:trPr>
          <w:trHeight w:val="512"/>
        </w:trPr>
        <w:tc>
          <w:tcPr>
            <w:tcW w:w="1440" w:type="dxa"/>
            <w:tcBorders>
              <w:top w:val="single" w:sz="4" w:space="0" w:color="auto"/>
              <w:left w:val="nil"/>
              <w:right w:val="nil"/>
            </w:tcBorders>
            <w:vAlign w:val="bottom"/>
          </w:tcPr>
          <w:p w14:paraId="08569A51" w14:textId="77777777" w:rsidR="00253B0D" w:rsidRPr="00273B76" w:rsidRDefault="00253B0D" w:rsidP="00253B0D">
            <w:pPr>
              <w:spacing w:after="0"/>
              <w:rPr>
                <w:rFonts w:ascii="Times New Roman" w:hAnsi="Times New Roman" w:cs="Times New Roman"/>
                <w:color w:val="000000"/>
                <w:sz w:val="20"/>
                <w:szCs w:val="20"/>
              </w:rPr>
            </w:pPr>
            <w:r>
              <w:rPr>
                <w:rFonts w:ascii="Times New Roman" w:hAnsi="Times New Roman" w:cs="Times New Roman"/>
                <w:color w:val="000000"/>
                <w:sz w:val="20"/>
                <w:szCs w:val="20"/>
              </w:rPr>
              <w:t>Author</w:t>
            </w:r>
          </w:p>
        </w:tc>
        <w:tc>
          <w:tcPr>
            <w:tcW w:w="2700" w:type="dxa"/>
            <w:tcBorders>
              <w:top w:val="single" w:sz="4" w:space="0" w:color="auto"/>
              <w:left w:val="nil"/>
              <w:right w:val="nil"/>
            </w:tcBorders>
            <w:shd w:val="clear" w:color="auto" w:fill="auto"/>
            <w:vAlign w:val="bottom"/>
          </w:tcPr>
          <w:p w14:paraId="7D6ABBA3" w14:textId="77777777" w:rsidR="00253B0D" w:rsidRPr="00273B76" w:rsidRDefault="00253B0D" w:rsidP="00253B0D">
            <w:pPr>
              <w:spacing w:after="0"/>
              <w:jc w:val="center"/>
              <w:rPr>
                <w:rFonts w:ascii="Times New Roman" w:hAnsi="Times New Roman" w:cs="Times New Roman"/>
                <w:color w:val="000000"/>
                <w:sz w:val="20"/>
                <w:szCs w:val="20"/>
                <w:lang w:val="en-US"/>
              </w:rPr>
            </w:pPr>
            <w:r w:rsidRPr="00273B76">
              <w:rPr>
                <w:rFonts w:ascii="Times New Roman" w:hAnsi="Times New Roman" w:cs="Times New Roman"/>
                <w:color w:val="000000"/>
                <w:sz w:val="20"/>
                <w:szCs w:val="20"/>
              </w:rPr>
              <w:t xml:space="preserve">Jacobson Frey, Jones, </w:t>
            </w:r>
            <w:r>
              <w:rPr>
                <w:rFonts w:ascii="Times New Roman" w:hAnsi="Times New Roman" w:cs="Times New Roman"/>
                <w:color w:val="000000"/>
                <w:sz w:val="20"/>
                <w:szCs w:val="20"/>
              </w:rPr>
              <w:t xml:space="preserve">&amp; </w:t>
            </w:r>
            <w:r w:rsidRPr="00273B76">
              <w:rPr>
                <w:rFonts w:ascii="Times New Roman" w:hAnsi="Times New Roman" w:cs="Times New Roman"/>
                <w:color w:val="000000"/>
                <w:sz w:val="20"/>
                <w:szCs w:val="20"/>
              </w:rPr>
              <w:t>Bower</w:t>
            </w:r>
            <w:r>
              <w:rPr>
                <w:rFonts w:ascii="Times New Roman" w:hAnsi="Times New Roman" w:cs="Times New Roman"/>
                <w:color w:val="000000"/>
                <w:sz w:val="20"/>
                <w:szCs w:val="20"/>
              </w:rPr>
              <w:t>s</w:t>
            </w:r>
          </w:p>
        </w:tc>
        <w:tc>
          <w:tcPr>
            <w:tcW w:w="2880" w:type="dxa"/>
            <w:tcBorders>
              <w:top w:val="single" w:sz="4" w:space="0" w:color="auto"/>
              <w:left w:val="nil"/>
              <w:right w:val="nil"/>
            </w:tcBorders>
            <w:shd w:val="clear" w:color="auto" w:fill="auto"/>
            <w:vAlign w:val="bottom"/>
          </w:tcPr>
          <w:p w14:paraId="02AD4E7C" w14:textId="77777777" w:rsidR="00253B0D" w:rsidRPr="00273B76" w:rsidRDefault="00253B0D" w:rsidP="00253B0D">
            <w:pPr>
              <w:spacing w:after="0"/>
              <w:jc w:val="center"/>
              <w:rPr>
                <w:rFonts w:ascii="Times New Roman" w:hAnsi="Times New Roman" w:cs="Times New Roman"/>
                <w:color w:val="000000"/>
                <w:sz w:val="20"/>
                <w:szCs w:val="20"/>
              </w:rPr>
            </w:pPr>
            <w:r w:rsidRPr="00273B76">
              <w:rPr>
                <w:rFonts w:ascii="Times New Roman" w:hAnsi="Times New Roman" w:cs="Times New Roman"/>
                <w:color w:val="000000"/>
                <w:sz w:val="20"/>
                <w:szCs w:val="20"/>
              </w:rPr>
              <w:t>Li, Sharar, Lennox, &amp; Zhuang</w:t>
            </w:r>
          </w:p>
        </w:tc>
        <w:tc>
          <w:tcPr>
            <w:tcW w:w="3150" w:type="dxa"/>
            <w:tcBorders>
              <w:top w:val="single" w:sz="4" w:space="0" w:color="auto"/>
              <w:left w:val="nil"/>
              <w:right w:val="nil"/>
            </w:tcBorders>
            <w:shd w:val="clear" w:color="auto" w:fill="auto"/>
            <w:vAlign w:val="bottom"/>
          </w:tcPr>
          <w:p w14:paraId="4DA89EAC" w14:textId="77777777" w:rsidR="00253B0D" w:rsidRPr="00273B76" w:rsidRDefault="00253B0D" w:rsidP="00253B0D">
            <w:pPr>
              <w:spacing w:after="0"/>
              <w:jc w:val="center"/>
              <w:rPr>
                <w:rFonts w:ascii="Times New Roman" w:hAnsi="Times New Roman" w:cs="Times New Roman"/>
                <w:color w:val="222222"/>
                <w:sz w:val="20"/>
                <w:szCs w:val="20"/>
              </w:rPr>
            </w:pPr>
            <w:r w:rsidRPr="00273B76">
              <w:rPr>
                <w:rFonts w:ascii="Times New Roman" w:hAnsi="Times New Roman" w:cs="Times New Roman"/>
                <w:color w:val="222222"/>
                <w:sz w:val="20"/>
                <w:szCs w:val="20"/>
              </w:rPr>
              <w:t>Mellor-Clark, John, Twigg, Elspeth, Farrell, Eugene, Kinder,</w:t>
            </w:r>
            <w:r>
              <w:rPr>
                <w:rFonts w:ascii="Times New Roman" w:hAnsi="Times New Roman" w:cs="Times New Roman"/>
                <w:color w:val="222222"/>
                <w:sz w:val="20"/>
                <w:szCs w:val="20"/>
              </w:rPr>
              <w:t xml:space="preserve"> &amp;</w:t>
            </w:r>
            <w:r w:rsidRPr="00273B76">
              <w:rPr>
                <w:rFonts w:ascii="Times New Roman" w:hAnsi="Times New Roman" w:cs="Times New Roman"/>
                <w:color w:val="222222"/>
                <w:sz w:val="20"/>
                <w:szCs w:val="20"/>
              </w:rPr>
              <w:t xml:space="preserve"> Andrew</w:t>
            </w:r>
          </w:p>
        </w:tc>
        <w:tc>
          <w:tcPr>
            <w:tcW w:w="2790" w:type="dxa"/>
            <w:tcBorders>
              <w:top w:val="single" w:sz="4" w:space="0" w:color="auto"/>
              <w:left w:val="nil"/>
              <w:right w:val="nil"/>
            </w:tcBorders>
            <w:shd w:val="clear" w:color="auto" w:fill="auto"/>
            <w:vAlign w:val="bottom"/>
          </w:tcPr>
          <w:p w14:paraId="58DC0C18" w14:textId="77777777" w:rsidR="00253B0D" w:rsidRPr="00273B76" w:rsidRDefault="00253B0D" w:rsidP="00253B0D">
            <w:pPr>
              <w:spacing w:after="0"/>
              <w:jc w:val="center"/>
              <w:rPr>
                <w:rFonts w:ascii="Times New Roman" w:hAnsi="Times New Roman" w:cs="Times New Roman"/>
                <w:color w:val="000000"/>
                <w:sz w:val="20"/>
                <w:szCs w:val="20"/>
              </w:rPr>
            </w:pPr>
            <w:r w:rsidRPr="00273B76">
              <w:rPr>
                <w:rFonts w:ascii="Times New Roman" w:hAnsi="Times New Roman" w:cs="Times New Roman"/>
                <w:color w:val="000000"/>
                <w:sz w:val="20"/>
                <w:szCs w:val="20"/>
              </w:rPr>
              <w:t>Mintzer, Morrow</w:t>
            </w:r>
            <w:r>
              <w:rPr>
                <w:rFonts w:ascii="Times New Roman" w:hAnsi="Times New Roman" w:cs="Times New Roman"/>
                <w:color w:val="000000"/>
                <w:sz w:val="20"/>
                <w:szCs w:val="20"/>
              </w:rPr>
              <w:t>, Tamburo, Sharar, &amp; Herlihy</w:t>
            </w:r>
          </w:p>
        </w:tc>
      </w:tr>
      <w:tr w:rsidR="00253B0D" w:rsidRPr="00273B76" w14:paraId="2C09C1B7" w14:textId="77777777" w:rsidTr="00526100">
        <w:trPr>
          <w:trHeight w:val="198"/>
        </w:trPr>
        <w:tc>
          <w:tcPr>
            <w:tcW w:w="1440" w:type="dxa"/>
            <w:tcBorders>
              <w:left w:val="nil"/>
              <w:bottom w:val="single" w:sz="4" w:space="0" w:color="auto"/>
              <w:right w:val="nil"/>
            </w:tcBorders>
          </w:tcPr>
          <w:p w14:paraId="10CE1CEC" w14:textId="77777777" w:rsidR="00253B0D" w:rsidRPr="00273B76" w:rsidRDefault="00253B0D" w:rsidP="00253B0D">
            <w:pPr>
              <w:spacing w:after="0"/>
              <w:rPr>
                <w:rFonts w:ascii="Times New Roman" w:hAnsi="Times New Roman" w:cs="Times New Roman"/>
                <w:color w:val="000000"/>
                <w:sz w:val="20"/>
                <w:szCs w:val="20"/>
              </w:rPr>
            </w:pPr>
            <w:r>
              <w:rPr>
                <w:rFonts w:ascii="Times New Roman" w:hAnsi="Times New Roman" w:cs="Times New Roman"/>
                <w:color w:val="000000"/>
                <w:sz w:val="20"/>
                <w:szCs w:val="20"/>
              </w:rPr>
              <w:t>Year</w:t>
            </w:r>
          </w:p>
        </w:tc>
        <w:tc>
          <w:tcPr>
            <w:tcW w:w="2700" w:type="dxa"/>
            <w:tcBorders>
              <w:left w:val="nil"/>
              <w:bottom w:val="single" w:sz="4" w:space="0" w:color="auto"/>
              <w:right w:val="nil"/>
            </w:tcBorders>
            <w:shd w:val="clear" w:color="auto" w:fill="auto"/>
          </w:tcPr>
          <w:p w14:paraId="4E384F44" w14:textId="77777777" w:rsidR="00253B0D" w:rsidRPr="00273B76" w:rsidRDefault="00253B0D" w:rsidP="00253B0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2011</w:t>
            </w:r>
          </w:p>
        </w:tc>
        <w:tc>
          <w:tcPr>
            <w:tcW w:w="2880" w:type="dxa"/>
            <w:tcBorders>
              <w:left w:val="nil"/>
              <w:bottom w:val="single" w:sz="4" w:space="0" w:color="auto"/>
              <w:right w:val="nil"/>
            </w:tcBorders>
            <w:shd w:val="clear" w:color="auto" w:fill="auto"/>
          </w:tcPr>
          <w:p w14:paraId="6145D31F" w14:textId="77777777" w:rsidR="00253B0D" w:rsidRPr="00273B76" w:rsidRDefault="00253B0D" w:rsidP="00253B0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3150" w:type="dxa"/>
            <w:tcBorders>
              <w:left w:val="nil"/>
              <w:bottom w:val="single" w:sz="4" w:space="0" w:color="auto"/>
              <w:right w:val="nil"/>
            </w:tcBorders>
            <w:shd w:val="clear" w:color="auto" w:fill="auto"/>
          </w:tcPr>
          <w:p w14:paraId="4EC129EC" w14:textId="77777777" w:rsidR="00253B0D" w:rsidRPr="00273B76" w:rsidRDefault="00253B0D" w:rsidP="00253B0D">
            <w:pPr>
              <w:spacing w:after="0"/>
              <w:jc w:val="center"/>
              <w:rPr>
                <w:rFonts w:ascii="Times New Roman" w:hAnsi="Times New Roman" w:cs="Times New Roman"/>
                <w:color w:val="222222"/>
                <w:sz w:val="20"/>
                <w:szCs w:val="20"/>
              </w:rPr>
            </w:pPr>
            <w:r>
              <w:rPr>
                <w:rFonts w:ascii="Times New Roman" w:hAnsi="Times New Roman" w:cs="Times New Roman"/>
                <w:color w:val="222222"/>
                <w:sz w:val="20"/>
                <w:szCs w:val="20"/>
              </w:rPr>
              <w:t>2013</w:t>
            </w:r>
          </w:p>
        </w:tc>
        <w:tc>
          <w:tcPr>
            <w:tcW w:w="2790" w:type="dxa"/>
            <w:tcBorders>
              <w:left w:val="nil"/>
              <w:bottom w:val="single" w:sz="4" w:space="0" w:color="auto"/>
              <w:right w:val="nil"/>
            </w:tcBorders>
            <w:shd w:val="clear" w:color="auto" w:fill="auto"/>
          </w:tcPr>
          <w:p w14:paraId="63721E85" w14:textId="77777777" w:rsidR="00253B0D" w:rsidRPr="00273B76" w:rsidRDefault="00253B0D" w:rsidP="00253B0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2018</w:t>
            </w:r>
          </w:p>
        </w:tc>
      </w:tr>
      <w:tr w:rsidR="00253B0D" w:rsidRPr="00273B76" w14:paraId="0521FBBE" w14:textId="77777777" w:rsidTr="00526100">
        <w:trPr>
          <w:trHeight w:val="4760"/>
        </w:trPr>
        <w:tc>
          <w:tcPr>
            <w:tcW w:w="1440" w:type="dxa"/>
            <w:tcBorders>
              <w:top w:val="single" w:sz="4" w:space="0" w:color="auto"/>
              <w:left w:val="nil"/>
              <w:bottom w:val="single" w:sz="4" w:space="0" w:color="auto"/>
              <w:right w:val="nil"/>
            </w:tcBorders>
          </w:tcPr>
          <w:p w14:paraId="0D594474" w14:textId="77777777" w:rsidR="00253B0D" w:rsidRPr="00273B76" w:rsidRDefault="00253B0D" w:rsidP="00253B0D">
            <w:pPr>
              <w:spacing w:after="0"/>
              <w:rPr>
                <w:rFonts w:ascii="Times New Roman" w:hAnsi="Times New Roman" w:cs="Times New Roman"/>
                <w:color w:val="000000"/>
                <w:sz w:val="20"/>
                <w:szCs w:val="20"/>
              </w:rPr>
            </w:pPr>
            <w:r w:rsidRPr="00E969CC">
              <w:rPr>
                <w:rFonts w:ascii="Times New Roman" w:eastAsia="Times New Roman" w:hAnsi="Times New Roman" w:cs="Times New Roman"/>
                <w:color w:val="000000"/>
                <w:sz w:val="20"/>
                <w:szCs w:val="20"/>
                <w:lang w:val="en-US"/>
              </w:rPr>
              <w:t>Outcome</w:t>
            </w:r>
            <w:r>
              <w:rPr>
                <w:rFonts w:ascii="Times New Roman" w:eastAsia="Times New Roman" w:hAnsi="Times New Roman" w:cs="Times New Roman"/>
                <w:color w:val="000000"/>
                <w:sz w:val="20"/>
                <w:szCs w:val="20"/>
                <w:lang w:val="en-US"/>
              </w:rPr>
              <w:t>s</w:t>
            </w:r>
          </w:p>
        </w:tc>
        <w:tc>
          <w:tcPr>
            <w:tcW w:w="2700" w:type="dxa"/>
            <w:tcBorders>
              <w:top w:val="single" w:sz="4" w:space="0" w:color="auto"/>
              <w:left w:val="nil"/>
              <w:bottom w:val="single" w:sz="4" w:space="0" w:color="auto"/>
              <w:right w:val="nil"/>
            </w:tcBorders>
            <w:shd w:val="clear" w:color="auto" w:fill="auto"/>
            <w:hideMark/>
          </w:tcPr>
          <w:p w14:paraId="34A3C7BF" w14:textId="77777777" w:rsidR="00253B0D" w:rsidRDefault="00253B0D" w:rsidP="00253B0D">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Only 50 case files </w:t>
            </w:r>
            <w:r w:rsidRPr="00273B76">
              <w:rPr>
                <w:rFonts w:ascii="Times New Roman" w:hAnsi="Times New Roman" w:cs="Times New Roman"/>
                <w:color w:val="000000"/>
                <w:sz w:val="20"/>
                <w:szCs w:val="20"/>
              </w:rPr>
              <w:t xml:space="preserve">obtained </w:t>
            </w:r>
            <w:r>
              <w:rPr>
                <w:rFonts w:ascii="Times New Roman" w:hAnsi="Times New Roman" w:cs="Times New Roman"/>
                <w:color w:val="000000"/>
                <w:sz w:val="20"/>
                <w:szCs w:val="20"/>
              </w:rPr>
              <w:t>complete pre-</w:t>
            </w:r>
            <w:r w:rsidRPr="00273B76">
              <w:rPr>
                <w:rFonts w:ascii="Times New Roman" w:hAnsi="Times New Roman" w:cs="Times New Roman"/>
                <w:color w:val="000000"/>
                <w:sz w:val="20"/>
                <w:szCs w:val="20"/>
              </w:rPr>
              <w:t>post</w:t>
            </w:r>
            <w:r>
              <w:rPr>
                <w:rFonts w:ascii="Times New Roman" w:hAnsi="Times New Roman" w:cs="Times New Roman"/>
                <w:color w:val="000000"/>
                <w:sz w:val="20"/>
                <w:szCs w:val="20"/>
              </w:rPr>
              <w:t xml:space="preserve"> data. </w:t>
            </w:r>
          </w:p>
          <w:p w14:paraId="0A32A74F" w14:textId="77777777" w:rsidR="00253B0D" w:rsidRDefault="00253B0D" w:rsidP="00253B0D">
            <w:pPr>
              <w:spacing w:after="0"/>
              <w:ind w:left="144" w:hanging="144"/>
              <w:rPr>
                <w:rFonts w:ascii="Times New Roman" w:hAnsi="Times New Roman" w:cs="Times New Roman"/>
                <w:color w:val="000000"/>
                <w:sz w:val="20"/>
                <w:szCs w:val="20"/>
              </w:rPr>
            </w:pPr>
          </w:p>
          <w:p w14:paraId="544928A9" w14:textId="77777777" w:rsidR="00253B0D" w:rsidRDefault="00253B0D" w:rsidP="00253B0D">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EAP services demonstrated a statistically significant eff</w:t>
            </w:r>
            <w:r>
              <w:rPr>
                <w:rFonts w:ascii="Times New Roman" w:hAnsi="Times New Roman" w:cs="Times New Roman"/>
                <w:color w:val="000000"/>
                <w:sz w:val="20"/>
                <w:szCs w:val="20"/>
              </w:rPr>
              <w:t>ect on all three scales</w:t>
            </w:r>
            <w:r w:rsidRPr="00273B76">
              <w:rPr>
                <w:rFonts w:ascii="Times New Roman" w:hAnsi="Times New Roman" w:cs="Times New Roman"/>
                <w:color w:val="000000"/>
                <w:sz w:val="20"/>
                <w:szCs w:val="20"/>
              </w:rPr>
              <w:t xml:space="preserve">. </w:t>
            </w:r>
          </w:p>
          <w:p w14:paraId="15A9C69F" w14:textId="77777777" w:rsidR="00253B0D" w:rsidRDefault="00253B0D" w:rsidP="00253B0D">
            <w:pPr>
              <w:spacing w:after="0"/>
              <w:ind w:left="144" w:hanging="144"/>
              <w:rPr>
                <w:rFonts w:ascii="Times New Roman" w:hAnsi="Times New Roman" w:cs="Times New Roman"/>
                <w:color w:val="000000"/>
                <w:sz w:val="20"/>
                <w:szCs w:val="20"/>
              </w:rPr>
            </w:pPr>
          </w:p>
          <w:p w14:paraId="2D357277" w14:textId="2018894D" w:rsidR="00253B0D" w:rsidRPr="00273B76" w:rsidRDefault="00253B0D" w:rsidP="00253B0D">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A</w:t>
            </w:r>
            <w:r w:rsidRPr="00273B76">
              <w:rPr>
                <w:rFonts w:ascii="Times New Roman" w:hAnsi="Times New Roman" w:cs="Times New Roman"/>
                <w:color w:val="000000"/>
                <w:sz w:val="20"/>
                <w:szCs w:val="20"/>
              </w:rPr>
              <w:t>dults of older age (40 and over) were more likely to have statistically significa</w:t>
            </w:r>
            <w:r>
              <w:rPr>
                <w:rFonts w:ascii="Times New Roman" w:hAnsi="Times New Roman" w:cs="Times New Roman"/>
                <w:color w:val="000000"/>
                <w:sz w:val="20"/>
                <w:szCs w:val="20"/>
              </w:rPr>
              <w:t>nt higher scores for the LO</w:t>
            </w:r>
            <w:r w:rsidRPr="00273B76">
              <w:rPr>
                <w:rFonts w:ascii="Times New Roman" w:hAnsi="Times New Roman" w:cs="Times New Roman"/>
                <w:color w:val="000000"/>
                <w:sz w:val="20"/>
                <w:szCs w:val="20"/>
              </w:rPr>
              <w:t>F</w:t>
            </w:r>
            <w:r>
              <w:rPr>
                <w:rFonts w:ascii="Times New Roman" w:hAnsi="Times New Roman" w:cs="Times New Roman"/>
                <w:color w:val="000000"/>
                <w:sz w:val="20"/>
                <w:szCs w:val="20"/>
              </w:rPr>
              <w:t>-</w:t>
            </w:r>
            <w:r w:rsidRPr="00273B76">
              <w:rPr>
                <w:rFonts w:ascii="Times New Roman" w:hAnsi="Times New Roman" w:cs="Times New Roman"/>
                <w:color w:val="000000"/>
                <w:sz w:val="20"/>
                <w:szCs w:val="20"/>
              </w:rPr>
              <w:t>Home scale</w:t>
            </w:r>
            <w:r w:rsidR="001C0210">
              <w:rPr>
                <w:rFonts w:ascii="Times New Roman" w:hAnsi="Times New Roman" w:cs="Times New Roman"/>
                <w:color w:val="000000"/>
                <w:sz w:val="20"/>
                <w:szCs w:val="20"/>
              </w:rPr>
              <w:t>.</w:t>
            </w:r>
          </w:p>
        </w:tc>
        <w:tc>
          <w:tcPr>
            <w:tcW w:w="2880" w:type="dxa"/>
            <w:tcBorders>
              <w:top w:val="single" w:sz="4" w:space="0" w:color="auto"/>
              <w:left w:val="nil"/>
              <w:bottom w:val="single" w:sz="4" w:space="0" w:color="auto"/>
              <w:right w:val="nil"/>
            </w:tcBorders>
            <w:shd w:val="clear" w:color="auto" w:fill="auto"/>
            <w:hideMark/>
          </w:tcPr>
          <w:p w14:paraId="76751B9D" w14:textId="77777777" w:rsidR="00253B0D" w:rsidRDefault="00253B0D" w:rsidP="00253B0D">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 xml:space="preserve">Statistically significant changes in absenteeism, presenteeism, workplace distress, and life satisfaction. </w:t>
            </w:r>
          </w:p>
          <w:p w14:paraId="05B154D1" w14:textId="77777777" w:rsidR="00253B0D" w:rsidRDefault="00253B0D" w:rsidP="00253B0D">
            <w:pPr>
              <w:spacing w:after="0"/>
              <w:ind w:left="144" w:hanging="144"/>
              <w:rPr>
                <w:rFonts w:ascii="Times New Roman" w:hAnsi="Times New Roman" w:cs="Times New Roman"/>
                <w:color w:val="000000"/>
                <w:sz w:val="20"/>
                <w:szCs w:val="20"/>
              </w:rPr>
            </w:pPr>
          </w:p>
          <w:p w14:paraId="7F0F9649" w14:textId="77777777" w:rsidR="00253B0D" w:rsidRPr="00273B76" w:rsidRDefault="00253B0D" w:rsidP="00253B0D">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No significant change in workplace engagement from before EAP counseling to after.</w:t>
            </w:r>
          </w:p>
        </w:tc>
        <w:tc>
          <w:tcPr>
            <w:tcW w:w="3150" w:type="dxa"/>
            <w:tcBorders>
              <w:top w:val="single" w:sz="4" w:space="0" w:color="auto"/>
              <w:left w:val="nil"/>
              <w:bottom w:val="single" w:sz="4" w:space="0" w:color="auto"/>
              <w:right w:val="nil"/>
            </w:tcBorders>
            <w:shd w:val="clear" w:color="auto" w:fill="auto"/>
            <w:hideMark/>
          </w:tcPr>
          <w:p w14:paraId="14056FD9" w14:textId="77777777" w:rsidR="00253B0D" w:rsidRDefault="00253B0D" w:rsidP="00253B0D">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 xml:space="preserve">EAP service users were accessing treatment in an average of 9 days, well below the established norms for other UK services. </w:t>
            </w:r>
          </w:p>
          <w:p w14:paraId="2FA09F17" w14:textId="77777777" w:rsidR="00253B0D" w:rsidRDefault="00253B0D" w:rsidP="00253B0D">
            <w:pPr>
              <w:spacing w:after="0"/>
              <w:ind w:left="144" w:hanging="144"/>
              <w:rPr>
                <w:rFonts w:ascii="Times New Roman" w:hAnsi="Times New Roman" w:cs="Times New Roman"/>
                <w:color w:val="000000"/>
                <w:sz w:val="20"/>
                <w:szCs w:val="20"/>
              </w:rPr>
            </w:pPr>
          </w:p>
          <w:p w14:paraId="4004053B" w14:textId="77777777" w:rsidR="00253B0D" w:rsidRDefault="00253B0D" w:rsidP="00253B0D">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 xml:space="preserve">88% of clients reported above the clinical cut-off of the CORE measurement tool for levels of distress. </w:t>
            </w:r>
          </w:p>
          <w:p w14:paraId="75497409" w14:textId="77777777" w:rsidR="00253B0D" w:rsidRDefault="00253B0D" w:rsidP="00253B0D">
            <w:pPr>
              <w:spacing w:after="0"/>
              <w:ind w:left="144" w:hanging="144"/>
              <w:rPr>
                <w:rFonts w:ascii="Times New Roman" w:hAnsi="Times New Roman" w:cs="Times New Roman"/>
                <w:color w:val="000000"/>
                <w:sz w:val="20"/>
                <w:szCs w:val="20"/>
              </w:rPr>
            </w:pPr>
          </w:p>
          <w:p w14:paraId="1DF561AD" w14:textId="77777777" w:rsidR="00253B0D" w:rsidRPr="00273B76" w:rsidRDefault="00253B0D" w:rsidP="00253B0D">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 xml:space="preserve">52% recovery and 18% improvement rates. Almost 75% of EAP clients completed their treatment, well above UK norms. </w:t>
            </w:r>
          </w:p>
        </w:tc>
        <w:tc>
          <w:tcPr>
            <w:tcW w:w="2790" w:type="dxa"/>
            <w:tcBorders>
              <w:top w:val="single" w:sz="4" w:space="0" w:color="auto"/>
              <w:left w:val="nil"/>
              <w:bottom w:val="single" w:sz="4" w:space="0" w:color="auto"/>
              <w:right w:val="nil"/>
            </w:tcBorders>
            <w:shd w:val="clear" w:color="auto" w:fill="auto"/>
            <w:hideMark/>
          </w:tcPr>
          <w:p w14:paraId="2EAB31C2" w14:textId="77777777" w:rsidR="00F33095" w:rsidRDefault="00253B0D" w:rsidP="00253B0D">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In 2016, </w:t>
            </w:r>
            <w:r w:rsidRPr="00273B76">
              <w:rPr>
                <w:rFonts w:ascii="Times New Roman" w:hAnsi="Times New Roman" w:cs="Times New Roman"/>
                <w:color w:val="000000"/>
                <w:sz w:val="20"/>
                <w:szCs w:val="20"/>
              </w:rPr>
              <w:t>statistically significant change</w:t>
            </w:r>
            <w:r>
              <w:rPr>
                <w:rFonts w:ascii="Times New Roman" w:hAnsi="Times New Roman" w:cs="Times New Roman"/>
                <w:color w:val="000000"/>
                <w:sz w:val="20"/>
                <w:szCs w:val="20"/>
              </w:rPr>
              <w:t>s were</w:t>
            </w:r>
            <w:r w:rsidRPr="00273B76">
              <w:rPr>
                <w:rFonts w:ascii="Times New Roman" w:hAnsi="Times New Roman" w:cs="Times New Roman"/>
                <w:color w:val="000000"/>
                <w:sz w:val="20"/>
                <w:szCs w:val="20"/>
              </w:rPr>
              <w:t xml:space="preserve"> found in absenteeism (mean change =  </w:t>
            </w:r>
          </w:p>
          <w:p w14:paraId="2E8A819F" w14:textId="77777777" w:rsidR="00F33095" w:rsidRDefault="00F33095" w:rsidP="00253B0D">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D1DB5">
              <w:rPr>
                <w:rFonts w:ascii="Times New Roman" w:hAnsi="Times New Roman" w:cs="Times New Roman"/>
                <w:color w:val="000000"/>
                <w:sz w:val="20"/>
                <w:szCs w:val="20"/>
              </w:rPr>
              <w:t>-</w:t>
            </w:r>
            <w:r w:rsidR="00253B0D" w:rsidRPr="00273B76">
              <w:rPr>
                <w:rFonts w:ascii="Times New Roman" w:hAnsi="Times New Roman" w:cs="Times New Roman"/>
                <w:color w:val="000000"/>
                <w:sz w:val="20"/>
                <w:szCs w:val="20"/>
              </w:rPr>
              <w:t xml:space="preserve">7.11), presenteeism (mean change = -0.81), work engagement (mean change = 0.09), </w:t>
            </w:r>
            <w:r w:rsidR="001C0210">
              <w:rPr>
                <w:rFonts w:ascii="Times New Roman" w:hAnsi="Times New Roman" w:cs="Times New Roman"/>
                <w:color w:val="000000"/>
                <w:sz w:val="20"/>
                <w:szCs w:val="20"/>
              </w:rPr>
              <w:t>l</w:t>
            </w:r>
            <w:r w:rsidR="00253B0D" w:rsidRPr="00273B76">
              <w:rPr>
                <w:rFonts w:ascii="Times New Roman" w:hAnsi="Times New Roman" w:cs="Times New Roman"/>
                <w:color w:val="000000"/>
                <w:sz w:val="20"/>
                <w:szCs w:val="20"/>
              </w:rPr>
              <w:t xml:space="preserve">ife </w:t>
            </w:r>
            <w:r w:rsidR="001C0210">
              <w:rPr>
                <w:rFonts w:ascii="Times New Roman" w:hAnsi="Times New Roman" w:cs="Times New Roman"/>
                <w:color w:val="000000"/>
                <w:sz w:val="20"/>
                <w:szCs w:val="20"/>
              </w:rPr>
              <w:t>s</w:t>
            </w:r>
            <w:r w:rsidR="00253B0D" w:rsidRPr="00273B76">
              <w:rPr>
                <w:rFonts w:ascii="Times New Roman" w:hAnsi="Times New Roman" w:cs="Times New Roman"/>
                <w:color w:val="000000"/>
                <w:sz w:val="20"/>
                <w:szCs w:val="20"/>
              </w:rPr>
              <w:t>atisfaction (mean change = 0.78), and workplace d</w:t>
            </w:r>
            <w:r w:rsidR="00253B0D">
              <w:rPr>
                <w:rFonts w:ascii="Times New Roman" w:hAnsi="Times New Roman" w:cs="Times New Roman"/>
                <w:color w:val="000000"/>
                <w:sz w:val="20"/>
                <w:szCs w:val="20"/>
              </w:rPr>
              <w:t xml:space="preserve">istress (mean change = </w:t>
            </w:r>
          </w:p>
          <w:p w14:paraId="69B0EC9B" w14:textId="02F8D675" w:rsidR="00253B0D" w:rsidRDefault="00F33095" w:rsidP="00253B0D">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53B0D">
              <w:rPr>
                <w:rFonts w:ascii="Times New Roman" w:hAnsi="Times New Roman" w:cs="Times New Roman"/>
                <w:color w:val="000000"/>
                <w:sz w:val="20"/>
                <w:szCs w:val="20"/>
              </w:rPr>
              <w:t xml:space="preserve">-0.85). </w:t>
            </w:r>
          </w:p>
          <w:p w14:paraId="122DF45E" w14:textId="77777777" w:rsidR="00F33095" w:rsidRDefault="00253B0D" w:rsidP="00253B0D">
            <w:pPr>
              <w:spacing w:after="0"/>
              <w:ind w:left="144" w:hanging="144"/>
              <w:rPr>
                <w:rFonts w:ascii="Times New Roman" w:hAnsi="Times New Roman" w:cs="Times New Roman"/>
                <w:color w:val="000000"/>
                <w:sz w:val="20"/>
                <w:szCs w:val="20"/>
              </w:rPr>
            </w:pPr>
            <w:r w:rsidRPr="00273B76">
              <w:rPr>
                <w:rFonts w:ascii="Times New Roman" w:hAnsi="Times New Roman" w:cs="Times New Roman"/>
                <w:color w:val="000000"/>
                <w:sz w:val="20"/>
                <w:szCs w:val="20"/>
              </w:rPr>
              <w:t xml:space="preserve">In 2017, statistically significant changes were found in absenteeism (mean change = </w:t>
            </w:r>
          </w:p>
          <w:p w14:paraId="4371F071" w14:textId="333C96CB" w:rsidR="00253B0D" w:rsidRPr="00273B76" w:rsidRDefault="00F33095" w:rsidP="00253B0D">
            <w:pPr>
              <w:spacing w:after="0"/>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C0210">
              <w:rPr>
                <w:rFonts w:ascii="Times New Roman" w:hAnsi="Times New Roman" w:cs="Times New Roman"/>
                <w:color w:val="000000"/>
                <w:sz w:val="20"/>
                <w:szCs w:val="20"/>
              </w:rPr>
              <w:t>-</w:t>
            </w:r>
            <w:r w:rsidR="00253B0D" w:rsidRPr="00273B76">
              <w:rPr>
                <w:rFonts w:ascii="Times New Roman" w:hAnsi="Times New Roman" w:cs="Times New Roman"/>
                <w:color w:val="000000"/>
                <w:sz w:val="20"/>
                <w:szCs w:val="20"/>
              </w:rPr>
              <w:t>7.34), presenteeism (mean change = -0.88), life satisfaction (mean change = 0.62), workplace distress (mean change = -0.26), but not work engagement.</w:t>
            </w:r>
          </w:p>
        </w:tc>
      </w:tr>
    </w:tbl>
    <w:p w14:paraId="03C34F97" w14:textId="77777777" w:rsidR="00D747B7" w:rsidRDefault="00D747B7" w:rsidP="008654D6">
      <w:pPr>
        <w:rPr>
          <w:rFonts w:ascii="Times New Roman" w:hAnsi="Times New Roman" w:cs="Times New Roman"/>
          <w:sz w:val="24"/>
          <w:szCs w:val="24"/>
        </w:rPr>
      </w:pPr>
    </w:p>
    <w:p w14:paraId="76D103BB" w14:textId="77777777" w:rsidR="00D5125A" w:rsidRDefault="00D5125A" w:rsidP="008654D6">
      <w:pPr>
        <w:rPr>
          <w:rFonts w:ascii="Times New Roman" w:hAnsi="Times New Roman" w:cs="Times New Roman"/>
          <w:sz w:val="24"/>
          <w:szCs w:val="24"/>
        </w:rPr>
      </w:pPr>
    </w:p>
    <w:p w14:paraId="4B891FC2" w14:textId="77777777" w:rsidR="00D5125A" w:rsidRDefault="00D5125A" w:rsidP="008654D6">
      <w:pPr>
        <w:rPr>
          <w:rFonts w:ascii="Times New Roman" w:hAnsi="Times New Roman" w:cs="Times New Roman"/>
          <w:sz w:val="24"/>
          <w:szCs w:val="24"/>
        </w:rPr>
      </w:pPr>
    </w:p>
    <w:p w14:paraId="66943502" w14:textId="77777777" w:rsidR="00D5125A" w:rsidRDefault="00D5125A" w:rsidP="008654D6">
      <w:pPr>
        <w:rPr>
          <w:rFonts w:ascii="Times New Roman" w:hAnsi="Times New Roman" w:cs="Times New Roman"/>
          <w:sz w:val="24"/>
          <w:szCs w:val="24"/>
        </w:rPr>
      </w:pPr>
    </w:p>
    <w:p w14:paraId="5EC27E44" w14:textId="77777777" w:rsidR="00D5125A" w:rsidRDefault="00D5125A" w:rsidP="008654D6">
      <w:pPr>
        <w:rPr>
          <w:rFonts w:ascii="Times New Roman" w:hAnsi="Times New Roman" w:cs="Times New Roman"/>
          <w:sz w:val="24"/>
          <w:szCs w:val="24"/>
        </w:rPr>
      </w:pPr>
    </w:p>
    <w:p w14:paraId="6672F029" w14:textId="77777777" w:rsidR="00D5125A" w:rsidRDefault="00D5125A" w:rsidP="008654D6">
      <w:pPr>
        <w:rPr>
          <w:rFonts w:ascii="Times New Roman" w:hAnsi="Times New Roman" w:cs="Times New Roman"/>
          <w:sz w:val="24"/>
          <w:szCs w:val="24"/>
        </w:rPr>
      </w:pPr>
    </w:p>
    <w:p w14:paraId="62743F97" w14:textId="77777777" w:rsidR="00D5125A" w:rsidRDefault="00380800" w:rsidP="008654D6">
      <w:pPr>
        <w:rPr>
          <w:rFonts w:ascii="Times New Roman" w:hAnsi="Times New Roman" w:cs="Times New Roman"/>
          <w:sz w:val="24"/>
          <w:szCs w:val="24"/>
        </w:rPr>
      </w:pPr>
      <w:r>
        <w:rPr>
          <w:rFonts w:ascii="Times New Roman" w:hAnsi="Times New Roman" w:cs="Times New Roman"/>
          <w:sz w:val="24"/>
          <w:szCs w:val="24"/>
        </w:rPr>
        <w:lastRenderedPageBreak/>
        <w:t>Table 3</w:t>
      </w:r>
    </w:p>
    <w:p w14:paraId="20B876DF" w14:textId="77777777" w:rsidR="00380800" w:rsidRPr="00380800" w:rsidRDefault="00380800" w:rsidP="008654D6">
      <w:pPr>
        <w:rPr>
          <w:rFonts w:ascii="Times New Roman" w:hAnsi="Times New Roman" w:cs="Times New Roman"/>
          <w:i/>
          <w:sz w:val="24"/>
          <w:szCs w:val="24"/>
        </w:rPr>
      </w:pPr>
      <w:r w:rsidRPr="00380800">
        <w:rPr>
          <w:rFonts w:ascii="Times New Roman" w:hAnsi="Times New Roman" w:cs="Times New Roman"/>
          <w:i/>
          <w:sz w:val="24"/>
          <w:szCs w:val="24"/>
        </w:rPr>
        <w:t>Outcome Study Summaries Continued</w:t>
      </w:r>
    </w:p>
    <w:tbl>
      <w:tblPr>
        <w:tblW w:w="12870" w:type="dxa"/>
        <w:tblLook w:val="04A0" w:firstRow="1" w:lastRow="0" w:firstColumn="1" w:lastColumn="0" w:noHBand="0" w:noVBand="1"/>
      </w:tblPr>
      <w:tblGrid>
        <w:gridCol w:w="1440"/>
        <w:gridCol w:w="2700"/>
        <w:gridCol w:w="2790"/>
        <w:gridCol w:w="3150"/>
        <w:gridCol w:w="2790"/>
      </w:tblGrid>
      <w:tr w:rsidR="00D5125A" w:rsidRPr="00380800" w14:paraId="3AAB02AD" w14:textId="77777777" w:rsidTr="00526100">
        <w:trPr>
          <w:trHeight w:val="600"/>
        </w:trPr>
        <w:tc>
          <w:tcPr>
            <w:tcW w:w="1440" w:type="dxa"/>
            <w:tcBorders>
              <w:top w:val="single" w:sz="4" w:space="0" w:color="auto"/>
              <w:left w:val="nil"/>
              <w:right w:val="nil"/>
            </w:tcBorders>
            <w:vAlign w:val="bottom"/>
          </w:tcPr>
          <w:p w14:paraId="5FB51BE1" w14:textId="77777777" w:rsidR="00D5125A" w:rsidRPr="00380800" w:rsidRDefault="00D5125A" w:rsidP="00D5125A">
            <w:pPr>
              <w:spacing w:after="0"/>
              <w:rPr>
                <w:rFonts w:ascii="Times New Roman" w:hAnsi="Times New Roman" w:cs="Times New Roman"/>
                <w:color w:val="000000"/>
                <w:sz w:val="20"/>
                <w:szCs w:val="20"/>
              </w:rPr>
            </w:pPr>
            <w:r w:rsidRPr="00380800">
              <w:rPr>
                <w:rFonts w:ascii="Times New Roman" w:hAnsi="Times New Roman" w:cs="Times New Roman"/>
                <w:color w:val="000000"/>
                <w:sz w:val="20"/>
                <w:szCs w:val="20"/>
              </w:rPr>
              <w:t>Author</w:t>
            </w:r>
          </w:p>
        </w:tc>
        <w:tc>
          <w:tcPr>
            <w:tcW w:w="2700" w:type="dxa"/>
            <w:tcBorders>
              <w:top w:val="single" w:sz="4" w:space="0" w:color="auto"/>
              <w:left w:val="nil"/>
              <w:right w:val="nil"/>
            </w:tcBorders>
            <w:shd w:val="clear" w:color="auto" w:fill="auto"/>
            <w:vAlign w:val="bottom"/>
            <w:hideMark/>
          </w:tcPr>
          <w:p w14:paraId="41FB82E5" w14:textId="77777777" w:rsidR="00D5125A" w:rsidRPr="00D5125A" w:rsidRDefault="00D5125A" w:rsidP="00451CFA">
            <w:pPr>
              <w:spacing w:after="0" w:line="240" w:lineRule="auto"/>
              <w:jc w:val="center"/>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Nun</w:t>
            </w:r>
            <w:r w:rsidRPr="00380800">
              <w:rPr>
                <w:rFonts w:ascii="Times New Roman" w:eastAsia="Times New Roman" w:hAnsi="Times New Roman" w:cs="Times New Roman"/>
                <w:color w:val="000000"/>
                <w:sz w:val="20"/>
                <w:szCs w:val="20"/>
                <w:lang w:val="en-US"/>
              </w:rPr>
              <w:t>es, Richmond, Pampel, &amp; Wood</w:t>
            </w:r>
          </w:p>
        </w:tc>
        <w:tc>
          <w:tcPr>
            <w:tcW w:w="2790" w:type="dxa"/>
            <w:tcBorders>
              <w:top w:val="single" w:sz="4" w:space="0" w:color="auto"/>
              <w:left w:val="nil"/>
              <w:right w:val="nil"/>
            </w:tcBorders>
            <w:shd w:val="clear" w:color="auto" w:fill="auto"/>
            <w:vAlign w:val="bottom"/>
            <w:hideMark/>
          </w:tcPr>
          <w:p w14:paraId="68D96434" w14:textId="77777777" w:rsidR="00D5125A" w:rsidRPr="00D5125A" w:rsidRDefault="00D5125A" w:rsidP="00451CFA">
            <w:pPr>
              <w:spacing w:after="0" w:line="240" w:lineRule="auto"/>
              <w:jc w:val="center"/>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Ric</w:t>
            </w:r>
            <w:r w:rsidRPr="00380800">
              <w:rPr>
                <w:rFonts w:ascii="Times New Roman" w:eastAsia="Times New Roman" w:hAnsi="Times New Roman" w:cs="Times New Roman"/>
                <w:color w:val="000000"/>
                <w:sz w:val="20"/>
                <w:szCs w:val="20"/>
                <w:lang w:val="en-US"/>
              </w:rPr>
              <w:t>hmond, Pampel, Wood, &amp; Nunes</w:t>
            </w:r>
          </w:p>
        </w:tc>
        <w:tc>
          <w:tcPr>
            <w:tcW w:w="3150" w:type="dxa"/>
            <w:tcBorders>
              <w:top w:val="single" w:sz="4" w:space="0" w:color="auto"/>
              <w:left w:val="nil"/>
              <w:right w:val="nil"/>
            </w:tcBorders>
            <w:shd w:val="clear" w:color="auto" w:fill="auto"/>
            <w:vAlign w:val="bottom"/>
            <w:hideMark/>
          </w:tcPr>
          <w:p w14:paraId="76E616FF" w14:textId="77777777" w:rsidR="00D5125A" w:rsidRPr="00D5125A" w:rsidRDefault="00D5125A" w:rsidP="00451CFA">
            <w:pPr>
              <w:spacing w:after="0" w:line="240" w:lineRule="auto"/>
              <w:jc w:val="center"/>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Ric</w:t>
            </w:r>
            <w:r w:rsidRPr="00380800">
              <w:rPr>
                <w:rFonts w:ascii="Times New Roman" w:eastAsia="Times New Roman" w:hAnsi="Times New Roman" w:cs="Times New Roman"/>
                <w:color w:val="000000"/>
                <w:sz w:val="20"/>
                <w:szCs w:val="20"/>
                <w:lang w:val="en-US"/>
              </w:rPr>
              <w:t>hmond, Pampel, Wood, &amp; Nunes</w:t>
            </w:r>
          </w:p>
        </w:tc>
        <w:tc>
          <w:tcPr>
            <w:tcW w:w="2790" w:type="dxa"/>
            <w:tcBorders>
              <w:top w:val="single" w:sz="4" w:space="0" w:color="auto"/>
              <w:left w:val="nil"/>
              <w:right w:val="nil"/>
            </w:tcBorders>
            <w:shd w:val="clear" w:color="auto" w:fill="auto"/>
            <w:vAlign w:val="bottom"/>
            <w:hideMark/>
          </w:tcPr>
          <w:p w14:paraId="740D3B5B" w14:textId="77777777" w:rsidR="00D5125A" w:rsidRPr="00D5125A" w:rsidRDefault="00D5125A" w:rsidP="00451CFA">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Sharar &amp;</w:t>
            </w:r>
            <w:r w:rsidRPr="00D5125A">
              <w:rPr>
                <w:rFonts w:ascii="Times New Roman" w:eastAsia="Times New Roman" w:hAnsi="Times New Roman" w:cs="Times New Roman"/>
                <w:color w:val="000000"/>
                <w:sz w:val="20"/>
                <w:szCs w:val="20"/>
                <w:lang w:val="en-US"/>
              </w:rPr>
              <w:t xml:space="preserve"> Lennox</w:t>
            </w:r>
          </w:p>
        </w:tc>
      </w:tr>
      <w:tr w:rsidR="00D5125A" w:rsidRPr="00380800" w14:paraId="0DB76392" w14:textId="77777777" w:rsidTr="00526100">
        <w:trPr>
          <w:trHeight w:val="216"/>
        </w:trPr>
        <w:tc>
          <w:tcPr>
            <w:tcW w:w="1440" w:type="dxa"/>
            <w:tcBorders>
              <w:top w:val="nil"/>
              <w:left w:val="nil"/>
              <w:bottom w:val="single" w:sz="4" w:space="0" w:color="auto"/>
              <w:right w:val="nil"/>
            </w:tcBorders>
          </w:tcPr>
          <w:p w14:paraId="4D9280FC" w14:textId="77777777" w:rsidR="00D5125A" w:rsidRPr="00380800" w:rsidRDefault="00D5125A" w:rsidP="00D5125A">
            <w:pPr>
              <w:spacing w:after="0"/>
              <w:rPr>
                <w:rFonts w:ascii="Times New Roman" w:hAnsi="Times New Roman" w:cs="Times New Roman"/>
                <w:color w:val="000000"/>
                <w:sz w:val="20"/>
                <w:szCs w:val="20"/>
              </w:rPr>
            </w:pPr>
            <w:r w:rsidRPr="00380800">
              <w:rPr>
                <w:rFonts w:ascii="Times New Roman" w:hAnsi="Times New Roman" w:cs="Times New Roman"/>
                <w:color w:val="000000"/>
                <w:sz w:val="20"/>
                <w:szCs w:val="20"/>
              </w:rPr>
              <w:t>Year</w:t>
            </w:r>
          </w:p>
        </w:tc>
        <w:tc>
          <w:tcPr>
            <w:tcW w:w="2700" w:type="dxa"/>
            <w:tcBorders>
              <w:top w:val="nil"/>
              <w:left w:val="nil"/>
              <w:bottom w:val="single" w:sz="4" w:space="0" w:color="auto"/>
              <w:right w:val="nil"/>
            </w:tcBorders>
            <w:shd w:val="clear" w:color="auto" w:fill="auto"/>
          </w:tcPr>
          <w:p w14:paraId="086B3119" w14:textId="77777777" w:rsidR="00D5125A" w:rsidRPr="00380800" w:rsidRDefault="00D5125A" w:rsidP="00D5125A">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2017</w:t>
            </w:r>
          </w:p>
        </w:tc>
        <w:tc>
          <w:tcPr>
            <w:tcW w:w="2790" w:type="dxa"/>
            <w:tcBorders>
              <w:top w:val="nil"/>
              <w:left w:val="nil"/>
              <w:bottom w:val="single" w:sz="4" w:space="0" w:color="auto"/>
              <w:right w:val="nil"/>
            </w:tcBorders>
            <w:shd w:val="clear" w:color="auto" w:fill="auto"/>
          </w:tcPr>
          <w:p w14:paraId="13472EA1" w14:textId="77777777" w:rsidR="00D5125A" w:rsidRPr="00380800" w:rsidRDefault="00D5125A" w:rsidP="00D5125A">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2016</w:t>
            </w:r>
          </w:p>
        </w:tc>
        <w:tc>
          <w:tcPr>
            <w:tcW w:w="3150" w:type="dxa"/>
            <w:tcBorders>
              <w:top w:val="nil"/>
              <w:left w:val="nil"/>
              <w:bottom w:val="single" w:sz="4" w:space="0" w:color="auto"/>
              <w:right w:val="nil"/>
            </w:tcBorders>
            <w:shd w:val="clear" w:color="auto" w:fill="auto"/>
          </w:tcPr>
          <w:p w14:paraId="2CD47FDA" w14:textId="77777777" w:rsidR="00D5125A" w:rsidRPr="00380800" w:rsidRDefault="00D5125A" w:rsidP="00D5125A">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2017</w:t>
            </w:r>
          </w:p>
        </w:tc>
        <w:tc>
          <w:tcPr>
            <w:tcW w:w="2790" w:type="dxa"/>
            <w:tcBorders>
              <w:top w:val="nil"/>
              <w:left w:val="nil"/>
              <w:bottom w:val="single" w:sz="4" w:space="0" w:color="auto"/>
              <w:right w:val="nil"/>
            </w:tcBorders>
            <w:shd w:val="clear" w:color="auto" w:fill="auto"/>
          </w:tcPr>
          <w:p w14:paraId="6F398BDC" w14:textId="77777777" w:rsidR="00D5125A" w:rsidRPr="00380800" w:rsidRDefault="00D5125A" w:rsidP="00D5125A">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2014</w:t>
            </w:r>
          </w:p>
        </w:tc>
      </w:tr>
      <w:tr w:rsidR="00D5125A" w:rsidRPr="00380800" w14:paraId="0BCC47E0" w14:textId="77777777" w:rsidTr="00526100">
        <w:trPr>
          <w:trHeight w:val="486"/>
        </w:trPr>
        <w:tc>
          <w:tcPr>
            <w:tcW w:w="1440" w:type="dxa"/>
            <w:tcBorders>
              <w:top w:val="single" w:sz="4" w:space="0" w:color="auto"/>
              <w:left w:val="nil"/>
              <w:bottom w:val="nil"/>
              <w:right w:val="nil"/>
            </w:tcBorders>
          </w:tcPr>
          <w:p w14:paraId="4F739A33" w14:textId="77777777" w:rsidR="00D5125A" w:rsidRPr="00380800" w:rsidRDefault="00D5125A" w:rsidP="00D5125A">
            <w:pPr>
              <w:spacing w:after="0" w:line="240" w:lineRule="auto"/>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Workplace</w:t>
            </w:r>
          </w:p>
        </w:tc>
        <w:tc>
          <w:tcPr>
            <w:tcW w:w="2700" w:type="dxa"/>
            <w:tcBorders>
              <w:top w:val="single" w:sz="4" w:space="0" w:color="auto"/>
              <w:left w:val="nil"/>
              <w:bottom w:val="nil"/>
              <w:right w:val="nil"/>
            </w:tcBorders>
            <w:shd w:val="clear" w:color="auto" w:fill="auto"/>
            <w:hideMark/>
          </w:tcPr>
          <w:p w14:paraId="20EF7F48"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Colorado State Government</w:t>
            </w:r>
          </w:p>
        </w:tc>
        <w:tc>
          <w:tcPr>
            <w:tcW w:w="2790" w:type="dxa"/>
            <w:tcBorders>
              <w:top w:val="single" w:sz="4" w:space="0" w:color="auto"/>
              <w:left w:val="nil"/>
              <w:bottom w:val="nil"/>
              <w:right w:val="nil"/>
            </w:tcBorders>
            <w:shd w:val="clear" w:color="auto" w:fill="auto"/>
            <w:hideMark/>
          </w:tcPr>
          <w:p w14:paraId="1EF29E16"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Colorado State Government</w:t>
            </w:r>
          </w:p>
        </w:tc>
        <w:tc>
          <w:tcPr>
            <w:tcW w:w="3150" w:type="dxa"/>
            <w:tcBorders>
              <w:top w:val="single" w:sz="4" w:space="0" w:color="auto"/>
              <w:left w:val="nil"/>
              <w:bottom w:val="nil"/>
              <w:right w:val="nil"/>
            </w:tcBorders>
            <w:shd w:val="clear" w:color="auto" w:fill="auto"/>
            <w:hideMark/>
          </w:tcPr>
          <w:p w14:paraId="5CA77CEB"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Colorado State Government</w:t>
            </w:r>
          </w:p>
        </w:tc>
        <w:tc>
          <w:tcPr>
            <w:tcW w:w="2790" w:type="dxa"/>
            <w:tcBorders>
              <w:top w:val="single" w:sz="4" w:space="0" w:color="auto"/>
              <w:left w:val="nil"/>
              <w:bottom w:val="nil"/>
              <w:right w:val="nil"/>
            </w:tcBorders>
            <w:shd w:val="clear" w:color="auto" w:fill="auto"/>
            <w:hideMark/>
          </w:tcPr>
          <w:p w14:paraId="207035CA"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20 EAP services from 20 different providers</w:t>
            </w:r>
            <w:r w:rsidR="00F8311C">
              <w:rPr>
                <w:rFonts w:ascii="Times New Roman" w:eastAsia="Times New Roman" w:hAnsi="Times New Roman" w:cs="Times New Roman"/>
                <w:color w:val="000000"/>
                <w:sz w:val="20"/>
                <w:szCs w:val="20"/>
                <w:lang w:val="en-US"/>
              </w:rPr>
              <w:t xml:space="preserve"> (USA)</w:t>
            </w:r>
          </w:p>
        </w:tc>
      </w:tr>
      <w:tr w:rsidR="00D5125A" w:rsidRPr="00380800" w14:paraId="093BCB9E" w14:textId="77777777" w:rsidTr="00526100">
        <w:trPr>
          <w:trHeight w:val="300"/>
        </w:trPr>
        <w:tc>
          <w:tcPr>
            <w:tcW w:w="1440" w:type="dxa"/>
            <w:tcBorders>
              <w:top w:val="nil"/>
              <w:left w:val="nil"/>
              <w:bottom w:val="nil"/>
              <w:right w:val="nil"/>
            </w:tcBorders>
          </w:tcPr>
          <w:p w14:paraId="36EE0669" w14:textId="77777777" w:rsidR="00D5125A" w:rsidRPr="00380800" w:rsidRDefault="00D5125A" w:rsidP="00D5125A">
            <w:pPr>
              <w:spacing w:after="0" w:line="240" w:lineRule="auto"/>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Workforce Size</w:t>
            </w:r>
          </w:p>
        </w:tc>
        <w:tc>
          <w:tcPr>
            <w:tcW w:w="2700" w:type="dxa"/>
            <w:tcBorders>
              <w:top w:val="nil"/>
              <w:left w:val="nil"/>
              <w:bottom w:val="nil"/>
              <w:right w:val="nil"/>
            </w:tcBorders>
            <w:shd w:val="clear" w:color="auto" w:fill="auto"/>
            <w:hideMark/>
          </w:tcPr>
          <w:p w14:paraId="6478C029"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28000 (est)</w:t>
            </w:r>
          </w:p>
        </w:tc>
        <w:tc>
          <w:tcPr>
            <w:tcW w:w="2790" w:type="dxa"/>
            <w:tcBorders>
              <w:top w:val="nil"/>
              <w:left w:val="nil"/>
              <w:bottom w:val="nil"/>
              <w:right w:val="nil"/>
            </w:tcBorders>
            <w:shd w:val="clear" w:color="auto" w:fill="auto"/>
            <w:noWrap/>
            <w:hideMark/>
          </w:tcPr>
          <w:p w14:paraId="0770D2D1"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28000 (est)</w:t>
            </w:r>
          </w:p>
        </w:tc>
        <w:tc>
          <w:tcPr>
            <w:tcW w:w="3150" w:type="dxa"/>
            <w:tcBorders>
              <w:top w:val="nil"/>
              <w:left w:val="nil"/>
              <w:bottom w:val="nil"/>
              <w:right w:val="nil"/>
            </w:tcBorders>
            <w:shd w:val="clear" w:color="auto" w:fill="auto"/>
            <w:noWrap/>
            <w:hideMark/>
          </w:tcPr>
          <w:p w14:paraId="0E546150"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28000 (est)</w:t>
            </w:r>
          </w:p>
        </w:tc>
        <w:tc>
          <w:tcPr>
            <w:tcW w:w="2790" w:type="dxa"/>
            <w:tcBorders>
              <w:top w:val="nil"/>
              <w:left w:val="nil"/>
              <w:bottom w:val="nil"/>
              <w:right w:val="nil"/>
            </w:tcBorders>
            <w:shd w:val="clear" w:color="auto" w:fill="auto"/>
            <w:noWrap/>
            <w:hideMark/>
          </w:tcPr>
          <w:p w14:paraId="5625F52E" w14:textId="77777777" w:rsidR="00D5125A" w:rsidRPr="00D5125A" w:rsidRDefault="00380800" w:rsidP="00451CFA">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Not Reported</w:t>
            </w:r>
          </w:p>
        </w:tc>
      </w:tr>
      <w:tr w:rsidR="00D5125A" w:rsidRPr="00380800" w14:paraId="669925E1" w14:textId="77777777" w:rsidTr="00526100">
        <w:trPr>
          <w:trHeight w:val="300"/>
        </w:trPr>
        <w:tc>
          <w:tcPr>
            <w:tcW w:w="1440" w:type="dxa"/>
            <w:tcBorders>
              <w:top w:val="nil"/>
              <w:left w:val="nil"/>
              <w:bottom w:val="nil"/>
              <w:right w:val="nil"/>
            </w:tcBorders>
          </w:tcPr>
          <w:p w14:paraId="55FF2112" w14:textId="77777777" w:rsidR="00D5125A" w:rsidRPr="00380800" w:rsidRDefault="00D5125A" w:rsidP="00D5125A">
            <w:pPr>
              <w:spacing w:after="0" w:line="240" w:lineRule="auto"/>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EAP Delivery</w:t>
            </w:r>
          </w:p>
        </w:tc>
        <w:tc>
          <w:tcPr>
            <w:tcW w:w="2700" w:type="dxa"/>
            <w:tcBorders>
              <w:top w:val="nil"/>
              <w:left w:val="nil"/>
              <w:bottom w:val="nil"/>
              <w:right w:val="nil"/>
            </w:tcBorders>
            <w:shd w:val="clear" w:color="auto" w:fill="auto"/>
            <w:hideMark/>
          </w:tcPr>
          <w:p w14:paraId="37A4A3FA"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Internal</w:t>
            </w:r>
          </w:p>
        </w:tc>
        <w:tc>
          <w:tcPr>
            <w:tcW w:w="2790" w:type="dxa"/>
            <w:tcBorders>
              <w:top w:val="nil"/>
              <w:left w:val="nil"/>
              <w:bottom w:val="nil"/>
              <w:right w:val="nil"/>
            </w:tcBorders>
            <w:shd w:val="clear" w:color="auto" w:fill="auto"/>
            <w:hideMark/>
          </w:tcPr>
          <w:p w14:paraId="42339200"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 xml:space="preserve">Internal </w:t>
            </w:r>
          </w:p>
        </w:tc>
        <w:tc>
          <w:tcPr>
            <w:tcW w:w="3150" w:type="dxa"/>
            <w:tcBorders>
              <w:top w:val="nil"/>
              <w:left w:val="nil"/>
              <w:bottom w:val="nil"/>
              <w:right w:val="nil"/>
            </w:tcBorders>
            <w:shd w:val="clear" w:color="auto" w:fill="auto"/>
            <w:hideMark/>
          </w:tcPr>
          <w:p w14:paraId="4F74DE38"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Internal</w:t>
            </w:r>
          </w:p>
        </w:tc>
        <w:tc>
          <w:tcPr>
            <w:tcW w:w="2790" w:type="dxa"/>
            <w:tcBorders>
              <w:top w:val="nil"/>
              <w:left w:val="nil"/>
              <w:bottom w:val="nil"/>
              <w:right w:val="nil"/>
            </w:tcBorders>
            <w:shd w:val="clear" w:color="auto" w:fill="auto"/>
            <w:hideMark/>
          </w:tcPr>
          <w:p w14:paraId="517DEA7A"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Internal/external</w:t>
            </w:r>
          </w:p>
        </w:tc>
      </w:tr>
      <w:tr w:rsidR="00D5125A" w:rsidRPr="00380800" w14:paraId="1928E4EF" w14:textId="77777777" w:rsidTr="00526100">
        <w:trPr>
          <w:trHeight w:val="1854"/>
        </w:trPr>
        <w:tc>
          <w:tcPr>
            <w:tcW w:w="1440" w:type="dxa"/>
            <w:tcBorders>
              <w:top w:val="nil"/>
              <w:left w:val="nil"/>
              <w:bottom w:val="nil"/>
              <w:right w:val="nil"/>
            </w:tcBorders>
          </w:tcPr>
          <w:p w14:paraId="1C4F2798" w14:textId="77777777" w:rsidR="00D5125A" w:rsidRPr="00380800" w:rsidRDefault="00D5125A" w:rsidP="00D5125A">
            <w:pPr>
              <w:spacing w:after="0" w:line="240" w:lineRule="auto"/>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Method</w:t>
            </w:r>
          </w:p>
        </w:tc>
        <w:tc>
          <w:tcPr>
            <w:tcW w:w="2700" w:type="dxa"/>
            <w:tcBorders>
              <w:top w:val="nil"/>
              <w:left w:val="nil"/>
              <w:bottom w:val="nil"/>
              <w:right w:val="nil"/>
            </w:tcBorders>
            <w:shd w:val="clear" w:color="auto" w:fill="auto"/>
            <w:hideMark/>
          </w:tcPr>
          <w:p w14:paraId="23AEB98D"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Quasi-experimental</w:t>
            </w:r>
          </w:p>
          <w:p w14:paraId="01112D12"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0AFAACA9" w14:textId="77777777" w:rsidR="00451CF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Sick Leave Tim</w:t>
            </w:r>
            <w:r w:rsidR="00451CFA">
              <w:rPr>
                <w:rFonts w:ascii="Times New Roman" w:eastAsia="Times New Roman" w:hAnsi="Times New Roman" w:cs="Times New Roman"/>
                <w:color w:val="000000"/>
                <w:sz w:val="20"/>
                <w:szCs w:val="20"/>
                <w:lang w:val="en-US"/>
              </w:rPr>
              <w:t>e assessed pre-post EAP access</w:t>
            </w:r>
          </w:p>
          <w:p w14:paraId="4DBE8DCF"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22532F4E"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n=145 receiving EAP and n=145 not receiving EAP</w:t>
            </w:r>
          </w:p>
        </w:tc>
        <w:tc>
          <w:tcPr>
            <w:tcW w:w="2790" w:type="dxa"/>
            <w:tcBorders>
              <w:top w:val="nil"/>
              <w:left w:val="nil"/>
              <w:bottom w:val="nil"/>
              <w:right w:val="nil"/>
            </w:tcBorders>
            <w:shd w:val="clear" w:color="auto" w:fill="auto"/>
            <w:hideMark/>
          </w:tcPr>
          <w:p w14:paraId="6C4A911C"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Quasi-experimental</w:t>
            </w:r>
          </w:p>
          <w:p w14:paraId="03ADCDD8"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3DBE95E2" w14:textId="77777777" w:rsidR="00451CF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 xml:space="preserve"> Pre-post completion of PHQ-8, GAD-2, AUDIT, and WOS tools. </w:t>
            </w:r>
          </w:p>
          <w:p w14:paraId="5388E4B4"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45BAB2EB"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Intervention group n=156, control group n=188</w:t>
            </w:r>
          </w:p>
        </w:tc>
        <w:tc>
          <w:tcPr>
            <w:tcW w:w="3150" w:type="dxa"/>
            <w:tcBorders>
              <w:top w:val="nil"/>
              <w:left w:val="nil"/>
              <w:bottom w:val="nil"/>
              <w:right w:val="nil"/>
            </w:tcBorders>
            <w:shd w:val="clear" w:color="auto" w:fill="auto"/>
            <w:hideMark/>
          </w:tcPr>
          <w:p w14:paraId="266EBFEF"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Quasi-experimental</w:t>
            </w:r>
          </w:p>
          <w:p w14:paraId="01C5F025"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219A7763" w14:textId="77777777" w:rsidR="00451CF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Pre-post completion of WOS, PHQ-8, GAD-2, AUDIT, Seeking Social Support Scale form Revised Ways of Coping measure, and a single item on days</w:t>
            </w:r>
            <w:r w:rsidR="00451CFA">
              <w:rPr>
                <w:rFonts w:ascii="Times New Roman" w:eastAsia="Times New Roman" w:hAnsi="Times New Roman" w:cs="Times New Roman"/>
                <w:color w:val="000000"/>
                <w:sz w:val="20"/>
                <w:szCs w:val="20"/>
                <w:lang w:val="en-US"/>
              </w:rPr>
              <w:t xml:space="preserve"> of marijuana use in past year. </w:t>
            </w:r>
          </w:p>
          <w:p w14:paraId="3DE2D06F"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4162F709"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Intervention group n=156, control group n=188</w:t>
            </w:r>
          </w:p>
        </w:tc>
        <w:tc>
          <w:tcPr>
            <w:tcW w:w="2790" w:type="dxa"/>
            <w:tcBorders>
              <w:top w:val="nil"/>
              <w:left w:val="nil"/>
              <w:bottom w:val="nil"/>
              <w:right w:val="nil"/>
            </w:tcBorders>
            <w:shd w:val="clear" w:color="auto" w:fill="auto"/>
            <w:hideMark/>
          </w:tcPr>
          <w:p w14:paraId="0CABDD67" w14:textId="77777777" w:rsidR="00451CF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Single gr</w:t>
            </w:r>
            <w:r w:rsidR="00451CFA">
              <w:rPr>
                <w:rFonts w:ascii="Times New Roman" w:eastAsia="Times New Roman" w:hAnsi="Times New Roman" w:cs="Times New Roman"/>
                <w:color w:val="000000"/>
                <w:sz w:val="20"/>
                <w:szCs w:val="20"/>
                <w:lang w:val="en-US"/>
              </w:rPr>
              <w:t>oup pre-post completion of WOS</w:t>
            </w:r>
          </w:p>
          <w:p w14:paraId="385976AF"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5B2AEF3D"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n=3187</w:t>
            </w:r>
          </w:p>
        </w:tc>
      </w:tr>
      <w:tr w:rsidR="00D5125A" w:rsidRPr="00380800" w14:paraId="432F1A55" w14:textId="77777777" w:rsidTr="00526100">
        <w:trPr>
          <w:trHeight w:val="531"/>
        </w:trPr>
        <w:tc>
          <w:tcPr>
            <w:tcW w:w="1440" w:type="dxa"/>
            <w:tcBorders>
              <w:top w:val="nil"/>
              <w:left w:val="nil"/>
              <w:right w:val="nil"/>
            </w:tcBorders>
          </w:tcPr>
          <w:p w14:paraId="50E35C45" w14:textId="77777777" w:rsidR="00D5125A" w:rsidRPr="00380800" w:rsidRDefault="00D5125A" w:rsidP="00D5125A">
            <w:pPr>
              <w:spacing w:after="0" w:line="240" w:lineRule="auto"/>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Study Time Frame</w:t>
            </w:r>
          </w:p>
        </w:tc>
        <w:tc>
          <w:tcPr>
            <w:tcW w:w="2700" w:type="dxa"/>
            <w:tcBorders>
              <w:top w:val="nil"/>
              <w:left w:val="nil"/>
              <w:right w:val="nil"/>
            </w:tcBorders>
            <w:shd w:val="clear" w:color="auto" w:fill="auto"/>
            <w:hideMark/>
          </w:tcPr>
          <w:p w14:paraId="3D57ACCA"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10 months (October 1, 2013 - July 31, 2014)</w:t>
            </w:r>
          </w:p>
        </w:tc>
        <w:tc>
          <w:tcPr>
            <w:tcW w:w="2790" w:type="dxa"/>
            <w:tcBorders>
              <w:top w:val="nil"/>
              <w:left w:val="nil"/>
              <w:right w:val="nil"/>
            </w:tcBorders>
            <w:shd w:val="clear" w:color="auto" w:fill="auto"/>
            <w:hideMark/>
          </w:tcPr>
          <w:p w14:paraId="678CA689"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10 months (October 1, 2013 - July 31, 2014)</w:t>
            </w:r>
          </w:p>
        </w:tc>
        <w:tc>
          <w:tcPr>
            <w:tcW w:w="3150" w:type="dxa"/>
            <w:tcBorders>
              <w:top w:val="nil"/>
              <w:left w:val="nil"/>
              <w:right w:val="nil"/>
            </w:tcBorders>
            <w:shd w:val="clear" w:color="auto" w:fill="auto"/>
            <w:hideMark/>
          </w:tcPr>
          <w:p w14:paraId="19DDB7DA"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10 months (October 1, 2013 - July 31, 2014)</w:t>
            </w:r>
          </w:p>
        </w:tc>
        <w:tc>
          <w:tcPr>
            <w:tcW w:w="2790" w:type="dxa"/>
            <w:tcBorders>
              <w:top w:val="nil"/>
              <w:left w:val="nil"/>
              <w:right w:val="nil"/>
            </w:tcBorders>
            <w:shd w:val="clear" w:color="auto" w:fill="auto"/>
            <w:hideMark/>
          </w:tcPr>
          <w:p w14:paraId="69E2F71E" w14:textId="77777777" w:rsidR="00D5125A" w:rsidRPr="00D5125A" w:rsidRDefault="00D5125A"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90 days between pre and post analysis</w:t>
            </w:r>
          </w:p>
        </w:tc>
      </w:tr>
      <w:tr w:rsidR="00380800" w:rsidRPr="00380800" w14:paraId="0378439F" w14:textId="77777777" w:rsidTr="00526100">
        <w:trPr>
          <w:trHeight w:val="531"/>
        </w:trPr>
        <w:tc>
          <w:tcPr>
            <w:tcW w:w="1440" w:type="dxa"/>
            <w:tcBorders>
              <w:top w:val="nil"/>
              <w:left w:val="nil"/>
              <w:bottom w:val="single" w:sz="4" w:space="0" w:color="auto"/>
              <w:right w:val="nil"/>
            </w:tcBorders>
          </w:tcPr>
          <w:p w14:paraId="0111FFF5" w14:textId="77777777" w:rsidR="004275AB" w:rsidRPr="00380800" w:rsidRDefault="004275AB" w:rsidP="004275AB">
            <w:pPr>
              <w:spacing w:after="0" w:line="240" w:lineRule="auto"/>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Variable Examined</w:t>
            </w:r>
          </w:p>
        </w:tc>
        <w:tc>
          <w:tcPr>
            <w:tcW w:w="2700" w:type="dxa"/>
            <w:tcBorders>
              <w:top w:val="nil"/>
              <w:left w:val="nil"/>
              <w:bottom w:val="single" w:sz="4" w:space="0" w:color="auto"/>
              <w:right w:val="nil"/>
            </w:tcBorders>
            <w:shd w:val="clear" w:color="auto" w:fill="auto"/>
            <w:hideMark/>
          </w:tcPr>
          <w:p w14:paraId="2A94FBA6" w14:textId="7999431A" w:rsidR="004275AB" w:rsidRPr="00380800" w:rsidRDefault="004275AB" w:rsidP="00451CFA">
            <w:pPr>
              <w:ind w:left="144" w:hanging="144"/>
              <w:rPr>
                <w:rFonts w:ascii="Times New Roman" w:hAnsi="Times New Roman" w:cs="Times New Roman"/>
                <w:color w:val="000000"/>
                <w:sz w:val="20"/>
                <w:szCs w:val="20"/>
                <w:lang w:val="en-US"/>
              </w:rPr>
            </w:pPr>
            <w:r w:rsidRPr="00380800">
              <w:rPr>
                <w:rFonts w:ascii="Times New Roman" w:hAnsi="Times New Roman" w:cs="Times New Roman"/>
                <w:color w:val="000000"/>
                <w:sz w:val="20"/>
                <w:szCs w:val="20"/>
              </w:rPr>
              <w:t>Absenteeism (sick leave, leave due to worker's compensation)</w:t>
            </w:r>
            <w:r w:rsidR="000D1DB5">
              <w:rPr>
                <w:rFonts w:ascii="Times New Roman" w:hAnsi="Times New Roman" w:cs="Times New Roman"/>
                <w:color w:val="000000"/>
                <w:sz w:val="20"/>
                <w:szCs w:val="20"/>
              </w:rPr>
              <w:t>.</w:t>
            </w:r>
          </w:p>
        </w:tc>
        <w:tc>
          <w:tcPr>
            <w:tcW w:w="2790" w:type="dxa"/>
            <w:tcBorders>
              <w:top w:val="nil"/>
              <w:left w:val="nil"/>
              <w:bottom w:val="single" w:sz="4" w:space="0" w:color="auto"/>
              <w:right w:val="nil"/>
            </w:tcBorders>
            <w:shd w:val="clear" w:color="auto" w:fill="auto"/>
            <w:hideMark/>
          </w:tcPr>
          <w:p w14:paraId="3086D823" w14:textId="77777777" w:rsidR="00451CFA" w:rsidRDefault="00451CFA" w:rsidP="00451CFA">
            <w:pPr>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PHQ-8 </w:t>
            </w:r>
            <w:r w:rsidR="004275AB" w:rsidRPr="00380800">
              <w:rPr>
                <w:rFonts w:ascii="Times New Roman" w:hAnsi="Times New Roman" w:cs="Times New Roman"/>
                <w:color w:val="000000"/>
                <w:sz w:val="20"/>
                <w:szCs w:val="20"/>
              </w:rPr>
              <w:t>assess</w:t>
            </w:r>
            <w:r>
              <w:rPr>
                <w:rFonts w:ascii="Times New Roman" w:hAnsi="Times New Roman" w:cs="Times New Roman"/>
                <w:color w:val="000000"/>
                <w:sz w:val="20"/>
                <w:szCs w:val="20"/>
              </w:rPr>
              <w:t>es</w:t>
            </w:r>
            <w:r w:rsidR="004275AB" w:rsidRPr="00380800">
              <w:rPr>
                <w:rFonts w:ascii="Times New Roman" w:hAnsi="Times New Roman" w:cs="Times New Roman"/>
                <w:color w:val="000000"/>
                <w:sz w:val="20"/>
                <w:szCs w:val="20"/>
              </w:rPr>
              <w:t xml:space="preserve"> s</w:t>
            </w:r>
            <w:r>
              <w:rPr>
                <w:rFonts w:ascii="Times New Roman" w:hAnsi="Times New Roman" w:cs="Times New Roman"/>
                <w:color w:val="000000"/>
                <w:sz w:val="20"/>
                <w:szCs w:val="20"/>
              </w:rPr>
              <w:t>everity of depressive symptoms</w:t>
            </w:r>
          </w:p>
          <w:p w14:paraId="401E8AF9" w14:textId="77777777" w:rsidR="00451CFA" w:rsidRDefault="00451CFA" w:rsidP="00451CFA">
            <w:pPr>
              <w:ind w:left="144" w:hanging="144"/>
              <w:rPr>
                <w:rFonts w:ascii="Times New Roman" w:hAnsi="Times New Roman" w:cs="Times New Roman"/>
                <w:color w:val="000000"/>
                <w:sz w:val="20"/>
                <w:szCs w:val="20"/>
              </w:rPr>
            </w:pPr>
            <w:r>
              <w:rPr>
                <w:rFonts w:ascii="Times New Roman" w:hAnsi="Times New Roman" w:cs="Times New Roman"/>
                <w:color w:val="000000"/>
                <w:sz w:val="20"/>
                <w:szCs w:val="20"/>
              </w:rPr>
              <w:t xml:space="preserve">GAD-2 </w:t>
            </w:r>
            <w:r w:rsidR="004275AB" w:rsidRPr="00380800">
              <w:rPr>
                <w:rFonts w:ascii="Times New Roman" w:hAnsi="Times New Roman" w:cs="Times New Roman"/>
                <w:color w:val="000000"/>
                <w:sz w:val="20"/>
                <w:szCs w:val="20"/>
              </w:rPr>
              <w:t>as</w:t>
            </w:r>
            <w:r>
              <w:rPr>
                <w:rFonts w:ascii="Times New Roman" w:hAnsi="Times New Roman" w:cs="Times New Roman"/>
                <w:color w:val="000000"/>
                <w:sz w:val="20"/>
                <w:szCs w:val="20"/>
              </w:rPr>
              <w:t>sesses severity of anxiety</w:t>
            </w:r>
          </w:p>
          <w:p w14:paraId="6EC642E4" w14:textId="77777777" w:rsidR="00451CFA" w:rsidRDefault="004275AB" w:rsidP="00451CFA">
            <w:pPr>
              <w:ind w:left="144" w:hanging="144"/>
              <w:rPr>
                <w:rFonts w:ascii="Times New Roman" w:hAnsi="Times New Roman" w:cs="Times New Roman"/>
                <w:color w:val="000000"/>
                <w:sz w:val="20"/>
                <w:szCs w:val="20"/>
              </w:rPr>
            </w:pPr>
            <w:r w:rsidRPr="00380800">
              <w:rPr>
                <w:rFonts w:ascii="Times New Roman" w:hAnsi="Times New Roman" w:cs="Times New Roman"/>
                <w:color w:val="000000"/>
                <w:sz w:val="20"/>
                <w:szCs w:val="20"/>
              </w:rPr>
              <w:t>AUDIT screens for hazardo</w:t>
            </w:r>
            <w:r w:rsidR="00451CFA">
              <w:rPr>
                <w:rFonts w:ascii="Times New Roman" w:hAnsi="Times New Roman" w:cs="Times New Roman"/>
                <w:color w:val="000000"/>
                <w:sz w:val="20"/>
                <w:szCs w:val="20"/>
              </w:rPr>
              <w:t>us and harmful alcohol use</w:t>
            </w:r>
          </w:p>
          <w:p w14:paraId="47011179" w14:textId="77777777" w:rsidR="004275AB" w:rsidRPr="00380800" w:rsidRDefault="004275AB" w:rsidP="00451CFA">
            <w:pPr>
              <w:ind w:left="144" w:hanging="144"/>
              <w:rPr>
                <w:rFonts w:ascii="Times New Roman" w:hAnsi="Times New Roman" w:cs="Times New Roman"/>
                <w:color w:val="000000"/>
                <w:sz w:val="20"/>
                <w:szCs w:val="20"/>
              </w:rPr>
            </w:pPr>
            <w:r w:rsidRPr="00380800">
              <w:rPr>
                <w:rFonts w:ascii="Times New Roman" w:hAnsi="Times New Roman" w:cs="Times New Roman"/>
                <w:color w:val="000000"/>
                <w:sz w:val="20"/>
                <w:szCs w:val="20"/>
              </w:rPr>
              <w:t>WOS assessed absenteeism, presenteeism, and workplace distress.</w:t>
            </w:r>
          </w:p>
        </w:tc>
        <w:tc>
          <w:tcPr>
            <w:tcW w:w="3150" w:type="dxa"/>
            <w:tcBorders>
              <w:top w:val="nil"/>
              <w:left w:val="nil"/>
              <w:bottom w:val="single" w:sz="4" w:space="0" w:color="auto"/>
              <w:right w:val="nil"/>
            </w:tcBorders>
            <w:shd w:val="clear" w:color="auto" w:fill="auto"/>
            <w:hideMark/>
          </w:tcPr>
          <w:p w14:paraId="0F08377C" w14:textId="07B0275F" w:rsidR="004275AB" w:rsidRPr="00380800" w:rsidRDefault="004275AB" w:rsidP="00451CFA">
            <w:pPr>
              <w:ind w:left="144" w:hanging="144"/>
              <w:rPr>
                <w:rFonts w:ascii="Times New Roman" w:hAnsi="Times New Roman" w:cs="Times New Roman"/>
                <w:color w:val="000000"/>
                <w:sz w:val="20"/>
                <w:szCs w:val="20"/>
              </w:rPr>
            </w:pPr>
            <w:r w:rsidRPr="00380800">
              <w:rPr>
                <w:rFonts w:ascii="Times New Roman" w:hAnsi="Times New Roman" w:cs="Times New Roman"/>
                <w:color w:val="000000"/>
                <w:sz w:val="20"/>
                <w:szCs w:val="20"/>
              </w:rPr>
              <w:t>Three WOS scales assessed levels of Absenteeism, Presenteeism, Workplace Distress</w:t>
            </w:r>
            <w:r w:rsidR="000D1DB5">
              <w:rPr>
                <w:rFonts w:ascii="Times New Roman" w:hAnsi="Times New Roman" w:cs="Times New Roman"/>
                <w:color w:val="000000"/>
                <w:sz w:val="20"/>
                <w:szCs w:val="20"/>
              </w:rPr>
              <w:t>.</w:t>
            </w:r>
          </w:p>
        </w:tc>
        <w:tc>
          <w:tcPr>
            <w:tcW w:w="2790" w:type="dxa"/>
            <w:tcBorders>
              <w:top w:val="nil"/>
              <w:left w:val="nil"/>
              <w:bottom w:val="single" w:sz="4" w:space="0" w:color="auto"/>
              <w:right w:val="nil"/>
            </w:tcBorders>
            <w:shd w:val="clear" w:color="auto" w:fill="auto"/>
            <w:hideMark/>
          </w:tcPr>
          <w:p w14:paraId="4945526F" w14:textId="0BE322C9" w:rsidR="004275AB" w:rsidRPr="00380800" w:rsidRDefault="004275AB" w:rsidP="00451CFA">
            <w:pPr>
              <w:ind w:left="144" w:hanging="144"/>
              <w:rPr>
                <w:rFonts w:ascii="Times New Roman" w:hAnsi="Times New Roman" w:cs="Times New Roman"/>
                <w:color w:val="000000"/>
                <w:sz w:val="20"/>
                <w:szCs w:val="20"/>
              </w:rPr>
            </w:pPr>
            <w:r w:rsidRPr="00380800">
              <w:rPr>
                <w:rFonts w:ascii="Times New Roman" w:hAnsi="Times New Roman" w:cs="Times New Roman"/>
                <w:color w:val="000000"/>
                <w:sz w:val="20"/>
                <w:szCs w:val="20"/>
              </w:rPr>
              <w:t>WOS assesses absenteeism, presenteeism, work engagement, workplace distress, and life satisfaction</w:t>
            </w:r>
            <w:r w:rsidR="000D1DB5">
              <w:rPr>
                <w:rFonts w:ascii="Times New Roman" w:hAnsi="Times New Roman" w:cs="Times New Roman"/>
                <w:color w:val="000000"/>
                <w:sz w:val="20"/>
                <w:szCs w:val="20"/>
              </w:rPr>
              <w:t>.</w:t>
            </w:r>
          </w:p>
        </w:tc>
      </w:tr>
    </w:tbl>
    <w:p w14:paraId="37C6CF54" w14:textId="77777777" w:rsidR="00380800" w:rsidRDefault="00380800"/>
    <w:p w14:paraId="610C9591" w14:textId="77777777" w:rsidR="00380800" w:rsidRPr="007E243F" w:rsidRDefault="007E243F">
      <w:pPr>
        <w:rPr>
          <w:rFonts w:ascii="Times New Roman" w:hAnsi="Times New Roman" w:cs="Times New Roman"/>
          <w:sz w:val="24"/>
        </w:rPr>
      </w:pPr>
      <w:r w:rsidRPr="007E243F">
        <w:rPr>
          <w:rFonts w:ascii="Times New Roman" w:hAnsi="Times New Roman" w:cs="Times New Roman"/>
          <w:sz w:val="24"/>
        </w:rPr>
        <w:lastRenderedPageBreak/>
        <w:t>Table 3</w:t>
      </w:r>
    </w:p>
    <w:p w14:paraId="3AD2C387" w14:textId="77777777" w:rsidR="007E243F" w:rsidRPr="007E243F" w:rsidRDefault="007E243F">
      <w:pPr>
        <w:rPr>
          <w:rFonts w:ascii="Times New Roman" w:hAnsi="Times New Roman" w:cs="Times New Roman"/>
          <w:sz w:val="24"/>
        </w:rPr>
      </w:pPr>
      <w:r w:rsidRPr="007E243F">
        <w:rPr>
          <w:rFonts w:ascii="Times New Roman" w:hAnsi="Times New Roman" w:cs="Times New Roman"/>
          <w:sz w:val="24"/>
        </w:rPr>
        <w:t>Outcome Study Summaries Continued</w:t>
      </w:r>
    </w:p>
    <w:tbl>
      <w:tblPr>
        <w:tblW w:w="12870" w:type="dxa"/>
        <w:tblLook w:val="04A0" w:firstRow="1" w:lastRow="0" w:firstColumn="1" w:lastColumn="0" w:noHBand="0" w:noVBand="1"/>
      </w:tblPr>
      <w:tblGrid>
        <w:gridCol w:w="1440"/>
        <w:gridCol w:w="2700"/>
        <w:gridCol w:w="2790"/>
        <w:gridCol w:w="3150"/>
        <w:gridCol w:w="2790"/>
      </w:tblGrid>
      <w:tr w:rsidR="004275AB" w:rsidRPr="00380800" w14:paraId="039E5F06" w14:textId="77777777" w:rsidTr="00526100">
        <w:trPr>
          <w:trHeight w:val="144"/>
        </w:trPr>
        <w:tc>
          <w:tcPr>
            <w:tcW w:w="1440" w:type="dxa"/>
            <w:tcBorders>
              <w:top w:val="single" w:sz="4" w:space="0" w:color="auto"/>
              <w:left w:val="nil"/>
              <w:right w:val="nil"/>
            </w:tcBorders>
            <w:vAlign w:val="bottom"/>
          </w:tcPr>
          <w:p w14:paraId="42A3E271" w14:textId="77777777" w:rsidR="004275AB" w:rsidRPr="00380800" w:rsidRDefault="004275AB" w:rsidP="004275AB">
            <w:pPr>
              <w:spacing w:after="0"/>
              <w:rPr>
                <w:rFonts w:ascii="Times New Roman" w:hAnsi="Times New Roman" w:cs="Times New Roman"/>
                <w:color w:val="000000"/>
                <w:sz w:val="20"/>
                <w:szCs w:val="20"/>
              </w:rPr>
            </w:pPr>
            <w:r w:rsidRPr="00380800">
              <w:rPr>
                <w:rFonts w:ascii="Times New Roman" w:hAnsi="Times New Roman" w:cs="Times New Roman"/>
                <w:color w:val="000000"/>
                <w:sz w:val="20"/>
                <w:szCs w:val="20"/>
              </w:rPr>
              <w:t>Author</w:t>
            </w:r>
          </w:p>
        </w:tc>
        <w:tc>
          <w:tcPr>
            <w:tcW w:w="2700" w:type="dxa"/>
            <w:tcBorders>
              <w:top w:val="single" w:sz="4" w:space="0" w:color="auto"/>
              <w:left w:val="nil"/>
              <w:right w:val="nil"/>
            </w:tcBorders>
            <w:shd w:val="clear" w:color="auto" w:fill="auto"/>
            <w:vAlign w:val="bottom"/>
          </w:tcPr>
          <w:p w14:paraId="2432DF12" w14:textId="77777777" w:rsidR="004275AB" w:rsidRPr="00D5125A" w:rsidRDefault="004275AB" w:rsidP="004275AB">
            <w:pPr>
              <w:spacing w:after="0" w:line="240" w:lineRule="auto"/>
              <w:jc w:val="center"/>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Nun</w:t>
            </w:r>
            <w:r w:rsidRPr="00380800">
              <w:rPr>
                <w:rFonts w:ascii="Times New Roman" w:eastAsia="Times New Roman" w:hAnsi="Times New Roman" w:cs="Times New Roman"/>
                <w:color w:val="000000"/>
                <w:sz w:val="20"/>
                <w:szCs w:val="20"/>
                <w:lang w:val="en-US"/>
              </w:rPr>
              <w:t>es, Richmond, Pampel, &amp; Wood</w:t>
            </w:r>
          </w:p>
        </w:tc>
        <w:tc>
          <w:tcPr>
            <w:tcW w:w="2790" w:type="dxa"/>
            <w:tcBorders>
              <w:top w:val="single" w:sz="4" w:space="0" w:color="auto"/>
              <w:left w:val="nil"/>
              <w:right w:val="nil"/>
            </w:tcBorders>
            <w:shd w:val="clear" w:color="auto" w:fill="auto"/>
            <w:vAlign w:val="bottom"/>
          </w:tcPr>
          <w:p w14:paraId="4EA47D18" w14:textId="77777777" w:rsidR="004275AB" w:rsidRPr="00D5125A" w:rsidRDefault="004275AB" w:rsidP="004275AB">
            <w:pPr>
              <w:spacing w:after="0" w:line="240" w:lineRule="auto"/>
              <w:jc w:val="center"/>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Ric</w:t>
            </w:r>
            <w:r w:rsidRPr="00380800">
              <w:rPr>
                <w:rFonts w:ascii="Times New Roman" w:eastAsia="Times New Roman" w:hAnsi="Times New Roman" w:cs="Times New Roman"/>
                <w:color w:val="000000"/>
                <w:sz w:val="20"/>
                <w:szCs w:val="20"/>
                <w:lang w:val="en-US"/>
              </w:rPr>
              <w:t>hmond, Pampel, Wood, &amp; Nunes</w:t>
            </w:r>
          </w:p>
        </w:tc>
        <w:tc>
          <w:tcPr>
            <w:tcW w:w="3150" w:type="dxa"/>
            <w:tcBorders>
              <w:top w:val="single" w:sz="4" w:space="0" w:color="auto"/>
              <w:left w:val="nil"/>
              <w:right w:val="nil"/>
            </w:tcBorders>
            <w:shd w:val="clear" w:color="auto" w:fill="auto"/>
            <w:vAlign w:val="bottom"/>
          </w:tcPr>
          <w:p w14:paraId="175FED78" w14:textId="77777777" w:rsidR="004275AB" w:rsidRPr="00D5125A" w:rsidRDefault="004275AB" w:rsidP="004275AB">
            <w:pPr>
              <w:spacing w:after="0" w:line="240" w:lineRule="auto"/>
              <w:jc w:val="center"/>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Ric</w:t>
            </w:r>
            <w:r w:rsidRPr="00380800">
              <w:rPr>
                <w:rFonts w:ascii="Times New Roman" w:eastAsia="Times New Roman" w:hAnsi="Times New Roman" w:cs="Times New Roman"/>
                <w:color w:val="000000"/>
                <w:sz w:val="20"/>
                <w:szCs w:val="20"/>
                <w:lang w:val="en-US"/>
              </w:rPr>
              <w:t>hmond, Pampel, Wood, &amp; Nunes</w:t>
            </w:r>
          </w:p>
        </w:tc>
        <w:tc>
          <w:tcPr>
            <w:tcW w:w="2790" w:type="dxa"/>
            <w:tcBorders>
              <w:top w:val="single" w:sz="4" w:space="0" w:color="auto"/>
              <w:left w:val="nil"/>
              <w:right w:val="nil"/>
            </w:tcBorders>
            <w:shd w:val="clear" w:color="auto" w:fill="auto"/>
            <w:vAlign w:val="bottom"/>
          </w:tcPr>
          <w:p w14:paraId="5625CFB6" w14:textId="77777777" w:rsidR="004275AB" w:rsidRPr="00D5125A" w:rsidRDefault="004275AB" w:rsidP="004275AB">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Sharar &amp;</w:t>
            </w:r>
            <w:r w:rsidRPr="00D5125A">
              <w:rPr>
                <w:rFonts w:ascii="Times New Roman" w:eastAsia="Times New Roman" w:hAnsi="Times New Roman" w:cs="Times New Roman"/>
                <w:color w:val="000000"/>
                <w:sz w:val="20"/>
                <w:szCs w:val="20"/>
                <w:lang w:val="en-US"/>
              </w:rPr>
              <w:t xml:space="preserve"> Lennox</w:t>
            </w:r>
          </w:p>
        </w:tc>
      </w:tr>
      <w:tr w:rsidR="004275AB" w:rsidRPr="00380800" w14:paraId="6D9EAB71" w14:textId="77777777" w:rsidTr="00526100">
        <w:trPr>
          <w:trHeight w:val="144"/>
        </w:trPr>
        <w:tc>
          <w:tcPr>
            <w:tcW w:w="1440" w:type="dxa"/>
            <w:tcBorders>
              <w:top w:val="nil"/>
              <w:left w:val="nil"/>
              <w:bottom w:val="single" w:sz="4" w:space="0" w:color="auto"/>
              <w:right w:val="nil"/>
            </w:tcBorders>
          </w:tcPr>
          <w:p w14:paraId="6DB01DDA" w14:textId="77777777" w:rsidR="004275AB" w:rsidRPr="00380800" w:rsidRDefault="004275AB" w:rsidP="004275AB">
            <w:pPr>
              <w:spacing w:after="0"/>
              <w:rPr>
                <w:rFonts w:ascii="Times New Roman" w:hAnsi="Times New Roman" w:cs="Times New Roman"/>
                <w:color w:val="000000"/>
                <w:sz w:val="20"/>
                <w:szCs w:val="20"/>
              </w:rPr>
            </w:pPr>
            <w:r w:rsidRPr="00380800">
              <w:rPr>
                <w:rFonts w:ascii="Times New Roman" w:hAnsi="Times New Roman" w:cs="Times New Roman"/>
                <w:color w:val="000000"/>
                <w:sz w:val="20"/>
                <w:szCs w:val="20"/>
              </w:rPr>
              <w:t>Year</w:t>
            </w:r>
          </w:p>
        </w:tc>
        <w:tc>
          <w:tcPr>
            <w:tcW w:w="2700" w:type="dxa"/>
            <w:tcBorders>
              <w:top w:val="nil"/>
              <w:left w:val="nil"/>
              <w:bottom w:val="single" w:sz="4" w:space="0" w:color="auto"/>
              <w:right w:val="nil"/>
            </w:tcBorders>
            <w:shd w:val="clear" w:color="auto" w:fill="auto"/>
            <w:hideMark/>
          </w:tcPr>
          <w:p w14:paraId="187628A3" w14:textId="77777777" w:rsidR="004275AB" w:rsidRPr="00380800" w:rsidRDefault="004275AB" w:rsidP="004275AB">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2017</w:t>
            </w:r>
          </w:p>
        </w:tc>
        <w:tc>
          <w:tcPr>
            <w:tcW w:w="2790" w:type="dxa"/>
            <w:tcBorders>
              <w:top w:val="nil"/>
              <w:left w:val="nil"/>
              <w:bottom w:val="single" w:sz="4" w:space="0" w:color="auto"/>
              <w:right w:val="nil"/>
            </w:tcBorders>
            <w:shd w:val="clear" w:color="auto" w:fill="auto"/>
            <w:hideMark/>
          </w:tcPr>
          <w:p w14:paraId="0801B32F" w14:textId="77777777" w:rsidR="004275AB" w:rsidRPr="00380800" w:rsidRDefault="004275AB" w:rsidP="004275AB">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2016</w:t>
            </w:r>
          </w:p>
        </w:tc>
        <w:tc>
          <w:tcPr>
            <w:tcW w:w="3150" w:type="dxa"/>
            <w:tcBorders>
              <w:top w:val="nil"/>
              <w:left w:val="nil"/>
              <w:bottom w:val="single" w:sz="4" w:space="0" w:color="auto"/>
              <w:right w:val="nil"/>
            </w:tcBorders>
            <w:shd w:val="clear" w:color="auto" w:fill="auto"/>
            <w:hideMark/>
          </w:tcPr>
          <w:p w14:paraId="4443CDDE" w14:textId="77777777" w:rsidR="004275AB" w:rsidRPr="00380800" w:rsidRDefault="004275AB" w:rsidP="004275AB">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2017</w:t>
            </w:r>
          </w:p>
        </w:tc>
        <w:tc>
          <w:tcPr>
            <w:tcW w:w="2790" w:type="dxa"/>
            <w:tcBorders>
              <w:top w:val="nil"/>
              <w:left w:val="nil"/>
              <w:bottom w:val="single" w:sz="4" w:space="0" w:color="auto"/>
              <w:right w:val="nil"/>
            </w:tcBorders>
            <w:shd w:val="clear" w:color="auto" w:fill="auto"/>
            <w:hideMark/>
          </w:tcPr>
          <w:p w14:paraId="783D9589" w14:textId="77777777" w:rsidR="004275AB" w:rsidRPr="00380800" w:rsidRDefault="004275AB" w:rsidP="004275AB">
            <w:pPr>
              <w:spacing w:after="0" w:line="240" w:lineRule="auto"/>
              <w:jc w:val="center"/>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2014</w:t>
            </w:r>
          </w:p>
        </w:tc>
      </w:tr>
      <w:tr w:rsidR="004275AB" w:rsidRPr="00380800" w14:paraId="60B8B556" w14:textId="77777777" w:rsidTr="00526100">
        <w:trPr>
          <w:trHeight w:val="4599"/>
        </w:trPr>
        <w:tc>
          <w:tcPr>
            <w:tcW w:w="1440" w:type="dxa"/>
            <w:tcBorders>
              <w:top w:val="single" w:sz="4" w:space="0" w:color="auto"/>
              <w:left w:val="nil"/>
              <w:bottom w:val="single" w:sz="4" w:space="0" w:color="auto"/>
              <w:right w:val="nil"/>
            </w:tcBorders>
          </w:tcPr>
          <w:p w14:paraId="7B2405DC" w14:textId="77777777" w:rsidR="004275AB" w:rsidRPr="00380800" w:rsidRDefault="004275AB" w:rsidP="004275AB">
            <w:pPr>
              <w:spacing w:after="0" w:line="240" w:lineRule="auto"/>
              <w:rPr>
                <w:rFonts w:ascii="Times New Roman" w:eastAsia="Times New Roman" w:hAnsi="Times New Roman" w:cs="Times New Roman"/>
                <w:color w:val="000000"/>
                <w:sz w:val="20"/>
                <w:szCs w:val="20"/>
                <w:lang w:val="en-US"/>
              </w:rPr>
            </w:pPr>
            <w:r w:rsidRPr="00380800">
              <w:rPr>
                <w:rFonts w:ascii="Times New Roman" w:eastAsia="Times New Roman" w:hAnsi="Times New Roman" w:cs="Times New Roman"/>
                <w:color w:val="000000"/>
                <w:sz w:val="20"/>
                <w:szCs w:val="20"/>
                <w:lang w:val="en-US"/>
              </w:rPr>
              <w:t>Outcomes</w:t>
            </w:r>
          </w:p>
        </w:tc>
        <w:tc>
          <w:tcPr>
            <w:tcW w:w="2700" w:type="dxa"/>
            <w:tcBorders>
              <w:top w:val="single" w:sz="4" w:space="0" w:color="auto"/>
              <w:left w:val="nil"/>
              <w:bottom w:val="single" w:sz="4" w:space="0" w:color="auto"/>
              <w:right w:val="nil"/>
            </w:tcBorders>
            <w:shd w:val="clear" w:color="auto" w:fill="auto"/>
            <w:hideMark/>
          </w:tcPr>
          <w:p w14:paraId="3001B3D9" w14:textId="77777777" w:rsidR="00451CF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 xml:space="preserve">No statistically significant difference between groups. </w:t>
            </w:r>
          </w:p>
          <w:p w14:paraId="4C5D471A"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317D7DEC" w14:textId="77777777" w:rsidR="00451CF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 xml:space="preserve">EAP group had 4.8% fewer hours lost per month. </w:t>
            </w:r>
          </w:p>
          <w:p w14:paraId="36549988"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6692C53B" w14:textId="23BA2022" w:rsidR="004275AB" w:rsidRPr="00D5125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EAP services assisted workers move from moderate time loss to low time loss, but did not significantly assist those with high amounts of time loss</w:t>
            </w:r>
            <w:r w:rsidR="000D1DB5">
              <w:rPr>
                <w:rFonts w:ascii="Times New Roman" w:eastAsia="Times New Roman" w:hAnsi="Times New Roman" w:cs="Times New Roman"/>
                <w:color w:val="000000"/>
                <w:sz w:val="20"/>
                <w:szCs w:val="20"/>
                <w:lang w:val="en-US"/>
              </w:rPr>
              <w:t>.</w:t>
            </w:r>
          </w:p>
        </w:tc>
        <w:tc>
          <w:tcPr>
            <w:tcW w:w="2790" w:type="dxa"/>
            <w:tcBorders>
              <w:top w:val="single" w:sz="4" w:space="0" w:color="auto"/>
              <w:left w:val="nil"/>
              <w:bottom w:val="single" w:sz="4" w:space="0" w:color="auto"/>
              <w:right w:val="nil"/>
            </w:tcBorders>
            <w:shd w:val="clear" w:color="auto" w:fill="auto"/>
            <w:hideMark/>
          </w:tcPr>
          <w:p w14:paraId="27A54592" w14:textId="77777777" w:rsidR="00451CF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Employees in the EAP group showed statistically significant reduct</w:t>
            </w:r>
            <w:r w:rsidR="00451CFA">
              <w:rPr>
                <w:rFonts w:ascii="Times New Roman" w:eastAsia="Times New Roman" w:hAnsi="Times New Roman" w:cs="Times New Roman"/>
                <w:color w:val="000000"/>
                <w:sz w:val="20"/>
                <w:szCs w:val="20"/>
                <w:lang w:val="en-US"/>
              </w:rPr>
              <w:t>ions in depression and anxiety</w:t>
            </w:r>
          </w:p>
          <w:p w14:paraId="0A6AC36A"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3CD77706"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w:t>
            </w:r>
            <w:r w:rsidR="004275AB" w:rsidRPr="00D5125A">
              <w:rPr>
                <w:rFonts w:ascii="Times New Roman" w:eastAsia="Times New Roman" w:hAnsi="Times New Roman" w:cs="Times New Roman"/>
                <w:color w:val="000000"/>
                <w:sz w:val="20"/>
                <w:szCs w:val="20"/>
                <w:lang w:val="en-US"/>
              </w:rPr>
              <w:t xml:space="preserve">o statistical significance was found for risky alcohol use. </w:t>
            </w:r>
          </w:p>
          <w:p w14:paraId="30FDFFE4"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1B4E9816" w14:textId="77777777" w:rsidR="004275AB" w:rsidRPr="00D5125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Effect sizes (as defined by Cohen's d) were small.</w:t>
            </w:r>
          </w:p>
        </w:tc>
        <w:tc>
          <w:tcPr>
            <w:tcW w:w="3150" w:type="dxa"/>
            <w:tcBorders>
              <w:top w:val="single" w:sz="4" w:space="0" w:color="auto"/>
              <w:left w:val="nil"/>
              <w:bottom w:val="single" w:sz="4" w:space="0" w:color="auto"/>
              <w:right w:val="nil"/>
            </w:tcBorders>
            <w:shd w:val="clear" w:color="auto" w:fill="auto"/>
            <w:hideMark/>
          </w:tcPr>
          <w:p w14:paraId="312D37B2" w14:textId="77777777" w:rsidR="00451CF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 xml:space="preserve">EAP group showed statistically significant differences In presenteeism (d= -.23) and absenteeism (d=-.25), but not for workplace distress. </w:t>
            </w:r>
          </w:p>
          <w:p w14:paraId="2EBE67E1"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59A3EFC3" w14:textId="77777777" w:rsidR="00451CF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 xml:space="preserve">EAP program improved scores </w:t>
            </w:r>
            <w:r w:rsidR="00451CFA">
              <w:rPr>
                <w:rFonts w:ascii="Times New Roman" w:eastAsia="Times New Roman" w:hAnsi="Times New Roman" w:cs="Times New Roman"/>
                <w:color w:val="000000"/>
                <w:sz w:val="20"/>
                <w:szCs w:val="20"/>
                <w:lang w:val="en-US"/>
              </w:rPr>
              <w:t>on AUDIT, PHQ-8, and the GAD-2</w:t>
            </w:r>
          </w:p>
          <w:p w14:paraId="0132018E"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767265C5" w14:textId="366F8B26" w:rsidR="004275AB" w:rsidRPr="00D5125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EAP intervention shows more favorable results when baseline scores in depression and anxiety are lower</w:t>
            </w:r>
            <w:r w:rsidR="000D1DB5">
              <w:rPr>
                <w:rFonts w:ascii="Times New Roman" w:eastAsia="Times New Roman" w:hAnsi="Times New Roman" w:cs="Times New Roman"/>
                <w:color w:val="000000"/>
                <w:sz w:val="20"/>
                <w:szCs w:val="20"/>
                <w:lang w:val="en-US"/>
              </w:rPr>
              <w:t>.</w:t>
            </w:r>
          </w:p>
        </w:tc>
        <w:tc>
          <w:tcPr>
            <w:tcW w:w="2790" w:type="dxa"/>
            <w:tcBorders>
              <w:top w:val="single" w:sz="4" w:space="0" w:color="auto"/>
              <w:left w:val="nil"/>
              <w:bottom w:val="single" w:sz="4" w:space="0" w:color="auto"/>
              <w:right w:val="nil"/>
            </w:tcBorders>
            <w:shd w:val="clear" w:color="auto" w:fill="auto"/>
            <w:hideMark/>
          </w:tcPr>
          <w:p w14:paraId="1DB737D2" w14:textId="77777777" w:rsidR="00451CF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 xml:space="preserve">Statistically significant changes were found for each measurement. Mean changes for each category are as follows: absenteeism (mean change = -43.6%), presenteeism (mean change = -25.3%), work engagement (mean change = 6.3%), work distress (mean change = -24.2%), and life satisfaction (mean change = 13.3%). </w:t>
            </w:r>
          </w:p>
          <w:p w14:paraId="18E53F0B" w14:textId="77777777" w:rsidR="00451CFA" w:rsidRDefault="00451CFA" w:rsidP="00451CFA">
            <w:pPr>
              <w:spacing w:after="0" w:line="240" w:lineRule="auto"/>
              <w:ind w:left="144" w:hanging="144"/>
              <w:rPr>
                <w:rFonts w:ascii="Times New Roman" w:eastAsia="Times New Roman" w:hAnsi="Times New Roman" w:cs="Times New Roman"/>
                <w:color w:val="000000"/>
                <w:sz w:val="20"/>
                <w:szCs w:val="20"/>
                <w:lang w:val="en-US"/>
              </w:rPr>
            </w:pPr>
          </w:p>
          <w:p w14:paraId="2DB054FA" w14:textId="77777777" w:rsidR="004275AB" w:rsidRPr="00D5125A" w:rsidRDefault="004275AB" w:rsidP="00451CFA">
            <w:pPr>
              <w:spacing w:after="0" w:line="240" w:lineRule="auto"/>
              <w:ind w:left="144" w:hanging="144"/>
              <w:rPr>
                <w:rFonts w:ascii="Times New Roman" w:eastAsia="Times New Roman" w:hAnsi="Times New Roman" w:cs="Times New Roman"/>
                <w:color w:val="000000"/>
                <w:sz w:val="20"/>
                <w:szCs w:val="20"/>
                <w:lang w:val="en-US"/>
              </w:rPr>
            </w:pPr>
            <w:r w:rsidRPr="00D5125A">
              <w:rPr>
                <w:rFonts w:ascii="Times New Roman" w:eastAsia="Times New Roman" w:hAnsi="Times New Roman" w:cs="Times New Roman"/>
                <w:color w:val="000000"/>
                <w:sz w:val="20"/>
                <w:szCs w:val="20"/>
                <w:lang w:val="en-US"/>
              </w:rPr>
              <w:t>Effect sizes were most practically relevant for absenteeism, work presenteeism, and work distress.</w:t>
            </w:r>
          </w:p>
        </w:tc>
      </w:tr>
    </w:tbl>
    <w:p w14:paraId="29119F20" w14:textId="77777777" w:rsidR="00D5125A" w:rsidRDefault="00D5125A" w:rsidP="008654D6">
      <w:pPr>
        <w:rPr>
          <w:rFonts w:ascii="Times New Roman" w:hAnsi="Times New Roman" w:cs="Times New Roman"/>
          <w:sz w:val="24"/>
          <w:szCs w:val="24"/>
        </w:rPr>
      </w:pPr>
    </w:p>
    <w:p w14:paraId="24126445" w14:textId="77777777" w:rsidR="00451CFA" w:rsidRDefault="00451CFA" w:rsidP="008654D6">
      <w:pPr>
        <w:rPr>
          <w:rFonts w:ascii="Times New Roman" w:hAnsi="Times New Roman" w:cs="Times New Roman"/>
          <w:sz w:val="24"/>
          <w:szCs w:val="24"/>
        </w:rPr>
      </w:pPr>
    </w:p>
    <w:p w14:paraId="709D7624" w14:textId="77777777" w:rsidR="00451CFA" w:rsidRDefault="00451CFA" w:rsidP="008654D6">
      <w:pPr>
        <w:rPr>
          <w:rFonts w:ascii="Times New Roman" w:hAnsi="Times New Roman" w:cs="Times New Roman"/>
          <w:sz w:val="24"/>
          <w:szCs w:val="24"/>
        </w:rPr>
      </w:pPr>
    </w:p>
    <w:p w14:paraId="63CA436E" w14:textId="77777777" w:rsidR="00451CFA" w:rsidRDefault="00451CFA" w:rsidP="008654D6">
      <w:pPr>
        <w:rPr>
          <w:rFonts w:ascii="Times New Roman" w:hAnsi="Times New Roman" w:cs="Times New Roman"/>
          <w:sz w:val="24"/>
          <w:szCs w:val="24"/>
        </w:rPr>
      </w:pPr>
    </w:p>
    <w:p w14:paraId="6189B2A5" w14:textId="77777777" w:rsidR="00451CFA" w:rsidRDefault="00451CFA" w:rsidP="008654D6">
      <w:pPr>
        <w:rPr>
          <w:rFonts w:ascii="Times New Roman" w:hAnsi="Times New Roman" w:cs="Times New Roman"/>
          <w:sz w:val="24"/>
          <w:szCs w:val="24"/>
        </w:rPr>
      </w:pPr>
    </w:p>
    <w:p w14:paraId="7A973C0E" w14:textId="77777777" w:rsidR="00451CFA" w:rsidRDefault="00451CFA" w:rsidP="008654D6">
      <w:pPr>
        <w:rPr>
          <w:rFonts w:ascii="Times New Roman" w:hAnsi="Times New Roman" w:cs="Times New Roman"/>
          <w:sz w:val="24"/>
          <w:szCs w:val="24"/>
        </w:rPr>
      </w:pPr>
    </w:p>
    <w:p w14:paraId="16E7D64E" w14:textId="77777777" w:rsidR="00451CFA" w:rsidRDefault="00451CFA" w:rsidP="008654D6">
      <w:pPr>
        <w:rPr>
          <w:rFonts w:ascii="Times New Roman" w:hAnsi="Times New Roman" w:cs="Times New Roman"/>
          <w:sz w:val="24"/>
          <w:szCs w:val="24"/>
        </w:rPr>
      </w:pPr>
    </w:p>
    <w:p w14:paraId="5715337E" w14:textId="77777777" w:rsidR="007E243F" w:rsidRDefault="007E243F" w:rsidP="008654D6">
      <w:pPr>
        <w:rPr>
          <w:rFonts w:ascii="Times New Roman" w:hAnsi="Times New Roman" w:cs="Times New Roman"/>
          <w:sz w:val="24"/>
          <w:szCs w:val="24"/>
        </w:rPr>
      </w:pPr>
      <w:r>
        <w:rPr>
          <w:rFonts w:ascii="Times New Roman" w:hAnsi="Times New Roman" w:cs="Times New Roman"/>
          <w:sz w:val="24"/>
          <w:szCs w:val="24"/>
        </w:rPr>
        <w:lastRenderedPageBreak/>
        <w:t>Table 3</w:t>
      </w:r>
    </w:p>
    <w:p w14:paraId="63655BB6" w14:textId="77777777" w:rsidR="00451CFA" w:rsidRPr="00526100" w:rsidRDefault="007E243F" w:rsidP="008654D6">
      <w:pPr>
        <w:rPr>
          <w:rFonts w:ascii="Times New Roman" w:hAnsi="Times New Roman" w:cs="Times New Roman"/>
          <w:i/>
          <w:sz w:val="24"/>
          <w:szCs w:val="24"/>
        </w:rPr>
      </w:pPr>
      <w:r w:rsidRPr="00526100">
        <w:rPr>
          <w:rFonts w:ascii="Times New Roman" w:hAnsi="Times New Roman" w:cs="Times New Roman"/>
          <w:i/>
          <w:sz w:val="24"/>
          <w:szCs w:val="24"/>
        </w:rPr>
        <w:t xml:space="preserve">Outcome Study Summaries Continued </w:t>
      </w:r>
    </w:p>
    <w:tbl>
      <w:tblPr>
        <w:tblW w:w="12672" w:type="dxa"/>
        <w:tblLook w:val="04A0" w:firstRow="1" w:lastRow="0" w:firstColumn="1" w:lastColumn="0" w:noHBand="0" w:noVBand="1"/>
      </w:tblPr>
      <w:tblGrid>
        <w:gridCol w:w="1584"/>
        <w:gridCol w:w="3600"/>
        <w:gridCol w:w="3600"/>
        <w:gridCol w:w="3888"/>
      </w:tblGrid>
      <w:tr w:rsidR="00451CFA" w:rsidRPr="00B03143" w14:paraId="208D7A29" w14:textId="77777777" w:rsidTr="00526100">
        <w:trPr>
          <w:trHeight w:val="360"/>
        </w:trPr>
        <w:tc>
          <w:tcPr>
            <w:tcW w:w="1584" w:type="dxa"/>
            <w:tcBorders>
              <w:top w:val="single" w:sz="4" w:space="0" w:color="auto"/>
              <w:left w:val="nil"/>
              <w:right w:val="nil"/>
            </w:tcBorders>
            <w:vAlign w:val="bottom"/>
          </w:tcPr>
          <w:p w14:paraId="427C4762" w14:textId="77777777" w:rsidR="00451CFA" w:rsidRPr="00B03143" w:rsidRDefault="00451CFA" w:rsidP="00B03143">
            <w:pPr>
              <w:spacing w:after="0"/>
              <w:rPr>
                <w:rFonts w:ascii="Times New Roman" w:hAnsi="Times New Roman" w:cs="Times New Roman"/>
                <w:color w:val="000000"/>
                <w:sz w:val="20"/>
                <w:szCs w:val="20"/>
              </w:rPr>
            </w:pPr>
            <w:r w:rsidRPr="00B03143">
              <w:rPr>
                <w:rFonts w:ascii="Times New Roman" w:hAnsi="Times New Roman" w:cs="Times New Roman"/>
                <w:color w:val="000000"/>
                <w:sz w:val="20"/>
                <w:szCs w:val="20"/>
              </w:rPr>
              <w:t>Author</w:t>
            </w:r>
          </w:p>
        </w:tc>
        <w:tc>
          <w:tcPr>
            <w:tcW w:w="3600" w:type="dxa"/>
            <w:tcBorders>
              <w:top w:val="single" w:sz="4" w:space="0" w:color="auto"/>
              <w:left w:val="nil"/>
              <w:right w:val="nil"/>
            </w:tcBorders>
            <w:shd w:val="clear" w:color="auto" w:fill="auto"/>
            <w:vAlign w:val="bottom"/>
            <w:hideMark/>
          </w:tcPr>
          <w:p w14:paraId="34CB5484" w14:textId="77777777" w:rsidR="00451CFA" w:rsidRPr="00451CFA" w:rsidRDefault="00451CFA" w:rsidP="00B03143">
            <w:pPr>
              <w:spacing w:after="0" w:line="240" w:lineRule="auto"/>
              <w:jc w:val="center"/>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Sharar, Pompe, &amp; Lennox</w:t>
            </w:r>
          </w:p>
        </w:tc>
        <w:tc>
          <w:tcPr>
            <w:tcW w:w="3600" w:type="dxa"/>
            <w:tcBorders>
              <w:top w:val="single" w:sz="4" w:space="0" w:color="auto"/>
              <w:left w:val="nil"/>
              <w:right w:val="nil"/>
            </w:tcBorders>
            <w:shd w:val="clear" w:color="auto" w:fill="auto"/>
            <w:vAlign w:val="bottom"/>
            <w:hideMark/>
          </w:tcPr>
          <w:p w14:paraId="77762497" w14:textId="77777777" w:rsidR="00451CFA" w:rsidRPr="00451CFA" w:rsidRDefault="00451CFA" w:rsidP="00B03143">
            <w:pPr>
              <w:spacing w:after="0" w:line="240" w:lineRule="auto"/>
              <w:jc w:val="center"/>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Spetch, Howland, &amp; Lowman</w:t>
            </w:r>
          </w:p>
        </w:tc>
        <w:tc>
          <w:tcPr>
            <w:tcW w:w="3888" w:type="dxa"/>
            <w:tcBorders>
              <w:top w:val="single" w:sz="4" w:space="0" w:color="auto"/>
              <w:left w:val="nil"/>
              <w:right w:val="nil"/>
            </w:tcBorders>
            <w:shd w:val="clear" w:color="auto" w:fill="auto"/>
            <w:vAlign w:val="bottom"/>
            <w:hideMark/>
          </w:tcPr>
          <w:p w14:paraId="0A66B07E" w14:textId="77777777" w:rsidR="00451CFA" w:rsidRPr="00451CFA" w:rsidRDefault="00451CFA" w:rsidP="00B03143">
            <w:pPr>
              <w:spacing w:after="0" w:line="240" w:lineRule="auto"/>
              <w:jc w:val="center"/>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Wae</w:t>
            </w:r>
            <w:r w:rsidRPr="00B03143">
              <w:rPr>
                <w:rFonts w:ascii="Times New Roman" w:eastAsia="Times New Roman" w:hAnsi="Times New Roman" w:cs="Times New Roman"/>
                <w:color w:val="000000"/>
                <w:sz w:val="20"/>
                <w:szCs w:val="20"/>
                <w:lang w:val="en-US"/>
              </w:rPr>
              <w:t>her, Miller Hendre, &amp; Galvin</w:t>
            </w:r>
          </w:p>
        </w:tc>
      </w:tr>
      <w:tr w:rsidR="00451CFA" w:rsidRPr="00B03143" w14:paraId="52E30CFE" w14:textId="77777777" w:rsidTr="00526100">
        <w:trPr>
          <w:trHeight w:val="261"/>
        </w:trPr>
        <w:tc>
          <w:tcPr>
            <w:tcW w:w="1584" w:type="dxa"/>
            <w:tcBorders>
              <w:top w:val="nil"/>
              <w:left w:val="nil"/>
              <w:bottom w:val="single" w:sz="4" w:space="0" w:color="auto"/>
              <w:right w:val="nil"/>
            </w:tcBorders>
          </w:tcPr>
          <w:p w14:paraId="6E944D0F" w14:textId="77777777" w:rsidR="00451CFA" w:rsidRPr="00B03143" w:rsidRDefault="00451CFA" w:rsidP="00B03143">
            <w:pPr>
              <w:spacing w:after="0"/>
              <w:rPr>
                <w:rFonts w:ascii="Times New Roman" w:hAnsi="Times New Roman" w:cs="Times New Roman"/>
                <w:color w:val="000000"/>
                <w:sz w:val="20"/>
                <w:szCs w:val="20"/>
              </w:rPr>
            </w:pPr>
            <w:r w:rsidRPr="00B03143">
              <w:rPr>
                <w:rFonts w:ascii="Times New Roman" w:hAnsi="Times New Roman" w:cs="Times New Roman"/>
                <w:color w:val="000000"/>
                <w:sz w:val="20"/>
                <w:szCs w:val="20"/>
              </w:rPr>
              <w:t>Year</w:t>
            </w:r>
          </w:p>
        </w:tc>
        <w:tc>
          <w:tcPr>
            <w:tcW w:w="3600" w:type="dxa"/>
            <w:tcBorders>
              <w:top w:val="nil"/>
              <w:left w:val="nil"/>
              <w:bottom w:val="single" w:sz="4" w:space="0" w:color="auto"/>
              <w:right w:val="nil"/>
            </w:tcBorders>
            <w:shd w:val="clear" w:color="auto" w:fill="auto"/>
            <w:vAlign w:val="center"/>
          </w:tcPr>
          <w:p w14:paraId="4A5D344E" w14:textId="77777777" w:rsidR="00451CFA" w:rsidRPr="00B03143" w:rsidRDefault="00451CFA" w:rsidP="00B03143">
            <w:pPr>
              <w:spacing w:after="0" w:line="240" w:lineRule="auto"/>
              <w:jc w:val="center"/>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2012</w:t>
            </w:r>
          </w:p>
        </w:tc>
        <w:tc>
          <w:tcPr>
            <w:tcW w:w="3600" w:type="dxa"/>
            <w:tcBorders>
              <w:top w:val="nil"/>
              <w:left w:val="nil"/>
              <w:bottom w:val="single" w:sz="4" w:space="0" w:color="auto"/>
              <w:right w:val="nil"/>
            </w:tcBorders>
            <w:shd w:val="clear" w:color="auto" w:fill="auto"/>
            <w:vAlign w:val="center"/>
          </w:tcPr>
          <w:p w14:paraId="74AC77EA" w14:textId="77777777" w:rsidR="00451CFA" w:rsidRPr="00B03143" w:rsidRDefault="00451CFA" w:rsidP="00B03143">
            <w:pPr>
              <w:spacing w:after="0" w:line="240" w:lineRule="auto"/>
              <w:jc w:val="center"/>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2011</w:t>
            </w:r>
          </w:p>
        </w:tc>
        <w:tc>
          <w:tcPr>
            <w:tcW w:w="3888" w:type="dxa"/>
            <w:tcBorders>
              <w:top w:val="nil"/>
              <w:left w:val="nil"/>
              <w:bottom w:val="single" w:sz="4" w:space="0" w:color="auto"/>
              <w:right w:val="nil"/>
            </w:tcBorders>
            <w:shd w:val="clear" w:color="auto" w:fill="auto"/>
            <w:vAlign w:val="center"/>
          </w:tcPr>
          <w:p w14:paraId="17813536" w14:textId="77777777" w:rsidR="00451CFA" w:rsidRPr="00B03143" w:rsidRDefault="00451CFA" w:rsidP="00B03143">
            <w:pPr>
              <w:spacing w:after="0" w:line="240" w:lineRule="auto"/>
              <w:jc w:val="center"/>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2016</w:t>
            </w:r>
          </w:p>
        </w:tc>
      </w:tr>
      <w:tr w:rsidR="00451CFA" w:rsidRPr="00B03143" w14:paraId="79D153FD" w14:textId="77777777" w:rsidTr="00526100">
        <w:trPr>
          <w:trHeight w:val="600"/>
        </w:trPr>
        <w:tc>
          <w:tcPr>
            <w:tcW w:w="1584" w:type="dxa"/>
            <w:tcBorders>
              <w:top w:val="single" w:sz="4" w:space="0" w:color="auto"/>
              <w:left w:val="nil"/>
              <w:bottom w:val="nil"/>
              <w:right w:val="nil"/>
            </w:tcBorders>
          </w:tcPr>
          <w:p w14:paraId="6B7644D6" w14:textId="77777777" w:rsidR="00451CFA" w:rsidRPr="00B03143" w:rsidRDefault="00451CFA" w:rsidP="00B03143">
            <w:pPr>
              <w:spacing w:after="0" w:line="240" w:lineRule="auto"/>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Workplace</w:t>
            </w:r>
          </w:p>
        </w:tc>
        <w:tc>
          <w:tcPr>
            <w:tcW w:w="3600" w:type="dxa"/>
            <w:tcBorders>
              <w:top w:val="single" w:sz="4" w:space="0" w:color="auto"/>
              <w:left w:val="nil"/>
              <w:bottom w:val="nil"/>
              <w:right w:val="nil"/>
            </w:tcBorders>
            <w:shd w:val="clear" w:color="auto" w:fill="auto"/>
            <w:hideMark/>
          </w:tcPr>
          <w:p w14:paraId="333BBA68"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2 Fortune 100 companies</w:t>
            </w:r>
            <w:r w:rsidR="00F8311C">
              <w:rPr>
                <w:rFonts w:ascii="Times New Roman" w:eastAsia="Times New Roman" w:hAnsi="Times New Roman" w:cs="Times New Roman"/>
                <w:color w:val="000000"/>
                <w:sz w:val="20"/>
                <w:szCs w:val="20"/>
                <w:lang w:val="en-US"/>
              </w:rPr>
              <w:t xml:space="preserve"> (USA)</w:t>
            </w:r>
          </w:p>
        </w:tc>
        <w:tc>
          <w:tcPr>
            <w:tcW w:w="3600" w:type="dxa"/>
            <w:tcBorders>
              <w:top w:val="single" w:sz="4" w:space="0" w:color="auto"/>
              <w:left w:val="nil"/>
              <w:bottom w:val="nil"/>
              <w:right w:val="nil"/>
            </w:tcBorders>
            <w:shd w:val="clear" w:color="auto" w:fill="auto"/>
            <w:hideMark/>
          </w:tcPr>
          <w:p w14:paraId="156AFA94"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Canadian Retail Company</w:t>
            </w:r>
          </w:p>
        </w:tc>
        <w:tc>
          <w:tcPr>
            <w:tcW w:w="3888" w:type="dxa"/>
            <w:tcBorders>
              <w:top w:val="single" w:sz="4" w:space="0" w:color="auto"/>
              <w:left w:val="nil"/>
              <w:bottom w:val="nil"/>
              <w:right w:val="nil"/>
            </w:tcBorders>
            <w:shd w:val="clear" w:color="auto" w:fill="auto"/>
            <w:hideMark/>
          </w:tcPr>
          <w:p w14:paraId="441BCE97"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1405 Non-agricultural establishments within the USA</w:t>
            </w:r>
          </w:p>
        </w:tc>
      </w:tr>
      <w:tr w:rsidR="00451CFA" w:rsidRPr="00B03143" w14:paraId="4CD4EBF9" w14:textId="77777777" w:rsidTr="00526100">
        <w:trPr>
          <w:trHeight w:val="300"/>
        </w:trPr>
        <w:tc>
          <w:tcPr>
            <w:tcW w:w="1584" w:type="dxa"/>
            <w:tcBorders>
              <w:top w:val="nil"/>
              <w:left w:val="nil"/>
              <w:bottom w:val="nil"/>
              <w:right w:val="nil"/>
            </w:tcBorders>
          </w:tcPr>
          <w:p w14:paraId="6E9008A5" w14:textId="77777777" w:rsidR="00451CFA" w:rsidRPr="00B03143" w:rsidRDefault="00451CFA" w:rsidP="00B03143">
            <w:pPr>
              <w:spacing w:after="0" w:line="240" w:lineRule="auto"/>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Workforce Size</w:t>
            </w:r>
          </w:p>
        </w:tc>
        <w:tc>
          <w:tcPr>
            <w:tcW w:w="3600" w:type="dxa"/>
            <w:tcBorders>
              <w:top w:val="nil"/>
              <w:left w:val="nil"/>
              <w:bottom w:val="nil"/>
              <w:right w:val="nil"/>
            </w:tcBorders>
            <w:shd w:val="clear" w:color="auto" w:fill="auto"/>
            <w:noWrap/>
            <w:hideMark/>
          </w:tcPr>
          <w:p w14:paraId="26A885F9"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Not Reported</w:t>
            </w:r>
          </w:p>
        </w:tc>
        <w:tc>
          <w:tcPr>
            <w:tcW w:w="3600" w:type="dxa"/>
            <w:tcBorders>
              <w:top w:val="nil"/>
              <w:left w:val="nil"/>
              <w:bottom w:val="nil"/>
              <w:right w:val="nil"/>
            </w:tcBorders>
            <w:shd w:val="clear" w:color="auto" w:fill="auto"/>
            <w:noWrap/>
            <w:hideMark/>
          </w:tcPr>
          <w:p w14:paraId="2A2867D1"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3448</w:t>
            </w:r>
          </w:p>
        </w:tc>
        <w:tc>
          <w:tcPr>
            <w:tcW w:w="3888" w:type="dxa"/>
            <w:tcBorders>
              <w:top w:val="nil"/>
              <w:left w:val="nil"/>
              <w:bottom w:val="nil"/>
              <w:right w:val="nil"/>
            </w:tcBorders>
            <w:shd w:val="clear" w:color="auto" w:fill="auto"/>
            <w:noWrap/>
            <w:hideMark/>
          </w:tcPr>
          <w:p w14:paraId="6B2385E7"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Not Reported</w:t>
            </w:r>
          </w:p>
        </w:tc>
      </w:tr>
      <w:tr w:rsidR="00451CFA" w:rsidRPr="00B03143" w14:paraId="6A03F600" w14:textId="77777777" w:rsidTr="00526100">
        <w:trPr>
          <w:trHeight w:val="300"/>
        </w:trPr>
        <w:tc>
          <w:tcPr>
            <w:tcW w:w="1584" w:type="dxa"/>
            <w:tcBorders>
              <w:top w:val="nil"/>
              <w:left w:val="nil"/>
              <w:bottom w:val="nil"/>
              <w:right w:val="nil"/>
            </w:tcBorders>
          </w:tcPr>
          <w:p w14:paraId="1F6D8F71" w14:textId="77777777" w:rsidR="00451CFA" w:rsidRPr="00B03143" w:rsidRDefault="00451CFA" w:rsidP="00B03143">
            <w:pPr>
              <w:spacing w:after="0" w:line="240" w:lineRule="auto"/>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EAP Delivery</w:t>
            </w:r>
          </w:p>
        </w:tc>
        <w:tc>
          <w:tcPr>
            <w:tcW w:w="3600" w:type="dxa"/>
            <w:tcBorders>
              <w:top w:val="nil"/>
              <w:left w:val="nil"/>
              <w:bottom w:val="nil"/>
              <w:right w:val="nil"/>
            </w:tcBorders>
            <w:shd w:val="clear" w:color="auto" w:fill="auto"/>
            <w:hideMark/>
          </w:tcPr>
          <w:p w14:paraId="4924AFAD"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External</w:t>
            </w:r>
          </w:p>
        </w:tc>
        <w:tc>
          <w:tcPr>
            <w:tcW w:w="3600" w:type="dxa"/>
            <w:tcBorders>
              <w:top w:val="nil"/>
              <w:left w:val="nil"/>
              <w:bottom w:val="nil"/>
              <w:right w:val="nil"/>
            </w:tcBorders>
            <w:shd w:val="clear" w:color="auto" w:fill="auto"/>
            <w:hideMark/>
          </w:tcPr>
          <w:p w14:paraId="1F746095"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External</w:t>
            </w:r>
          </w:p>
        </w:tc>
        <w:tc>
          <w:tcPr>
            <w:tcW w:w="3888" w:type="dxa"/>
            <w:tcBorders>
              <w:top w:val="nil"/>
              <w:left w:val="nil"/>
              <w:bottom w:val="nil"/>
              <w:right w:val="nil"/>
            </w:tcBorders>
            <w:shd w:val="clear" w:color="auto" w:fill="auto"/>
            <w:hideMark/>
          </w:tcPr>
          <w:p w14:paraId="4EA9FAB6"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Internal/external</w:t>
            </w:r>
          </w:p>
        </w:tc>
      </w:tr>
      <w:tr w:rsidR="00451CFA" w:rsidRPr="00B03143" w14:paraId="445912FA" w14:textId="77777777" w:rsidTr="00526100">
        <w:trPr>
          <w:trHeight w:val="558"/>
        </w:trPr>
        <w:tc>
          <w:tcPr>
            <w:tcW w:w="1584" w:type="dxa"/>
            <w:tcBorders>
              <w:top w:val="nil"/>
              <w:left w:val="nil"/>
              <w:bottom w:val="nil"/>
              <w:right w:val="nil"/>
            </w:tcBorders>
          </w:tcPr>
          <w:p w14:paraId="35014EB1" w14:textId="77777777" w:rsidR="00451CFA" w:rsidRPr="00B03143" w:rsidRDefault="00451CFA" w:rsidP="00B03143">
            <w:pPr>
              <w:spacing w:after="0" w:line="240" w:lineRule="auto"/>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Method</w:t>
            </w:r>
          </w:p>
        </w:tc>
        <w:tc>
          <w:tcPr>
            <w:tcW w:w="3600" w:type="dxa"/>
            <w:tcBorders>
              <w:top w:val="nil"/>
              <w:left w:val="nil"/>
              <w:bottom w:val="nil"/>
              <w:right w:val="nil"/>
            </w:tcBorders>
            <w:shd w:val="clear" w:color="auto" w:fill="auto"/>
            <w:hideMark/>
          </w:tcPr>
          <w:p w14:paraId="0E34BD56" w14:textId="77777777" w:rsidR="00451CFA" w:rsidRPr="00B03143"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Single gr</w:t>
            </w:r>
            <w:r w:rsidRPr="00B03143">
              <w:rPr>
                <w:rFonts w:ascii="Times New Roman" w:eastAsia="Times New Roman" w:hAnsi="Times New Roman" w:cs="Times New Roman"/>
                <w:color w:val="000000"/>
                <w:sz w:val="20"/>
                <w:szCs w:val="20"/>
                <w:lang w:val="en-US"/>
              </w:rPr>
              <w:t>oup pre-post completion of WOS</w:t>
            </w:r>
          </w:p>
          <w:p w14:paraId="18504856" w14:textId="77777777" w:rsidR="00451CFA" w:rsidRPr="00B03143" w:rsidRDefault="00451CFA" w:rsidP="00B03143">
            <w:pPr>
              <w:spacing w:after="0" w:line="240" w:lineRule="auto"/>
              <w:ind w:left="144" w:hanging="144"/>
              <w:rPr>
                <w:rFonts w:ascii="Times New Roman" w:eastAsia="Times New Roman" w:hAnsi="Times New Roman" w:cs="Times New Roman"/>
                <w:color w:val="000000"/>
                <w:sz w:val="20"/>
                <w:szCs w:val="20"/>
                <w:lang w:val="en-US"/>
              </w:rPr>
            </w:pPr>
          </w:p>
          <w:p w14:paraId="5AF3D8A4"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n=197</w:t>
            </w:r>
          </w:p>
        </w:tc>
        <w:tc>
          <w:tcPr>
            <w:tcW w:w="3600" w:type="dxa"/>
            <w:tcBorders>
              <w:top w:val="nil"/>
              <w:left w:val="nil"/>
              <w:bottom w:val="nil"/>
              <w:right w:val="nil"/>
            </w:tcBorders>
            <w:shd w:val="clear" w:color="auto" w:fill="auto"/>
            <w:hideMark/>
          </w:tcPr>
          <w:p w14:paraId="57CAFDC5" w14:textId="77777777" w:rsidR="00451CFA" w:rsidRPr="00B03143"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R</w:t>
            </w:r>
            <w:r w:rsidRPr="00B03143">
              <w:rPr>
                <w:rFonts w:ascii="Times New Roman" w:eastAsia="Times New Roman" w:hAnsi="Times New Roman" w:cs="Times New Roman"/>
                <w:color w:val="000000"/>
                <w:sz w:val="20"/>
                <w:szCs w:val="20"/>
                <w:lang w:val="en-US"/>
              </w:rPr>
              <w:t>etrospective longitudinal study</w:t>
            </w:r>
            <w:r w:rsidRPr="00451CFA">
              <w:rPr>
                <w:rFonts w:ascii="Times New Roman" w:eastAsia="Times New Roman" w:hAnsi="Times New Roman" w:cs="Times New Roman"/>
                <w:color w:val="000000"/>
                <w:sz w:val="20"/>
                <w:szCs w:val="20"/>
                <w:lang w:val="en-US"/>
              </w:rPr>
              <w:t xml:space="preserve"> </w:t>
            </w:r>
          </w:p>
          <w:p w14:paraId="21764184" w14:textId="77777777" w:rsidR="00451CFA" w:rsidRPr="00B03143" w:rsidRDefault="00451CFA" w:rsidP="00B03143">
            <w:pPr>
              <w:spacing w:after="0" w:line="240" w:lineRule="auto"/>
              <w:ind w:left="144" w:hanging="144"/>
              <w:rPr>
                <w:rFonts w:ascii="Times New Roman" w:eastAsia="Times New Roman" w:hAnsi="Times New Roman" w:cs="Times New Roman"/>
                <w:color w:val="000000"/>
                <w:sz w:val="20"/>
                <w:szCs w:val="20"/>
                <w:lang w:val="en-US"/>
              </w:rPr>
            </w:pPr>
          </w:p>
          <w:p w14:paraId="50BC1B5A"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n=2584</w:t>
            </w:r>
          </w:p>
        </w:tc>
        <w:tc>
          <w:tcPr>
            <w:tcW w:w="3888" w:type="dxa"/>
            <w:tcBorders>
              <w:top w:val="nil"/>
              <w:left w:val="nil"/>
              <w:bottom w:val="nil"/>
              <w:right w:val="nil"/>
            </w:tcBorders>
            <w:shd w:val="clear" w:color="auto" w:fill="auto"/>
            <w:hideMark/>
          </w:tcPr>
          <w:p w14:paraId="5B722096"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Secondary Analysis</w:t>
            </w:r>
          </w:p>
        </w:tc>
      </w:tr>
      <w:tr w:rsidR="00451CFA" w:rsidRPr="00B03143" w14:paraId="6F57F3CB" w14:textId="77777777" w:rsidTr="00526100">
        <w:trPr>
          <w:trHeight w:val="1026"/>
        </w:trPr>
        <w:tc>
          <w:tcPr>
            <w:tcW w:w="1584" w:type="dxa"/>
            <w:tcBorders>
              <w:top w:val="nil"/>
              <w:left w:val="nil"/>
              <w:bottom w:val="nil"/>
              <w:right w:val="nil"/>
            </w:tcBorders>
          </w:tcPr>
          <w:p w14:paraId="2839DDA9" w14:textId="77777777" w:rsidR="00451CFA" w:rsidRPr="00B03143" w:rsidRDefault="00451CFA" w:rsidP="00B03143">
            <w:pPr>
              <w:spacing w:after="0" w:line="240" w:lineRule="auto"/>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Study Time Frame</w:t>
            </w:r>
          </w:p>
        </w:tc>
        <w:tc>
          <w:tcPr>
            <w:tcW w:w="3600" w:type="dxa"/>
            <w:tcBorders>
              <w:top w:val="nil"/>
              <w:left w:val="nil"/>
              <w:bottom w:val="nil"/>
              <w:right w:val="nil"/>
            </w:tcBorders>
            <w:shd w:val="clear" w:color="auto" w:fill="auto"/>
            <w:hideMark/>
          </w:tcPr>
          <w:p w14:paraId="4EF951E5"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90 days</w:t>
            </w:r>
          </w:p>
        </w:tc>
        <w:tc>
          <w:tcPr>
            <w:tcW w:w="3600" w:type="dxa"/>
            <w:tcBorders>
              <w:top w:val="nil"/>
              <w:left w:val="nil"/>
              <w:bottom w:val="nil"/>
              <w:right w:val="nil"/>
            </w:tcBorders>
            <w:shd w:val="clear" w:color="auto" w:fill="auto"/>
            <w:hideMark/>
          </w:tcPr>
          <w:p w14:paraId="4DC78C31"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3 year period</w:t>
            </w:r>
          </w:p>
        </w:tc>
        <w:tc>
          <w:tcPr>
            <w:tcW w:w="3888" w:type="dxa"/>
            <w:tcBorders>
              <w:top w:val="nil"/>
              <w:left w:val="nil"/>
              <w:bottom w:val="nil"/>
              <w:right w:val="nil"/>
            </w:tcBorders>
            <w:shd w:val="clear" w:color="auto" w:fill="auto"/>
            <w:hideMark/>
          </w:tcPr>
          <w:p w14:paraId="7B5A1102" w14:textId="77777777" w:rsidR="00B03143" w:rsidRPr="00B03143"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1988 Bureau of Labor Statistics Survey on E</w:t>
            </w:r>
            <w:r w:rsidR="00B03143" w:rsidRPr="00B03143">
              <w:rPr>
                <w:rFonts w:ascii="Times New Roman" w:eastAsia="Times New Roman" w:hAnsi="Times New Roman" w:cs="Times New Roman"/>
                <w:color w:val="000000"/>
                <w:sz w:val="20"/>
                <w:szCs w:val="20"/>
                <w:lang w:val="en-US"/>
              </w:rPr>
              <w:t>mployer Anti-Drug Programs</w:t>
            </w:r>
          </w:p>
          <w:p w14:paraId="494B786E"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1989 Annual Survey of Occupational Injuries and Illnesses</w:t>
            </w:r>
          </w:p>
        </w:tc>
      </w:tr>
      <w:tr w:rsidR="00451CFA" w:rsidRPr="00B03143" w14:paraId="2BEB0702" w14:textId="77777777" w:rsidTr="00526100">
        <w:trPr>
          <w:trHeight w:val="1872"/>
        </w:trPr>
        <w:tc>
          <w:tcPr>
            <w:tcW w:w="1584" w:type="dxa"/>
            <w:tcBorders>
              <w:top w:val="nil"/>
              <w:left w:val="nil"/>
              <w:right w:val="nil"/>
            </w:tcBorders>
          </w:tcPr>
          <w:p w14:paraId="1C3098CD" w14:textId="77777777" w:rsidR="00451CFA" w:rsidRPr="00B03143" w:rsidRDefault="00502898" w:rsidP="00B0314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Variables </w:t>
            </w:r>
            <w:r w:rsidR="00451CFA" w:rsidRPr="00B03143">
              <w:rPr>
                <w:rFonts w:ascii="Times New Roman" w:eastAsia="Times New Roman" w:hAnsi="Times New Roman" w:cs="Times New Roman"/>
                <w:color w:val="000000"/>
                <w:sz w:val="20"/>
                <w:szCs w:val="20"/>
                <w:lang w:val="en-US"/>
              </w:rPr>
              <w:t>Examined</w:t>
            </w:r>
          </w:p>
        </w:tc>
        <w:tc>
          <w:tcPr>
            <w:tcW w:w="3600" w:type="dxa"/>
            <w:tcBorders>
              <w:top w:val="nil"/>
              <w:left w:val="nil"/>
              <w:right w:val="nil"/>
            </w:tcBorders>
            <w:shd w:val="clear" w:color="auto" w:fill="auto"/>
            <w:hideMark/>
          </w:tcPr>
          <w:p w14:paraId="0F62B33D"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WOS assesses absenteeism, presenteeism, work engagement, workplace distress, and life satisfaction</w:t>
            </w:r>
          </w:p>
        </w:tc>
        <w:tc>
          <w:tcPr>
            <w:tcW w:w="3600" w:type="dxa"/>
            <w:tcBorders>
              <w:top w:val="nil"/>
              <w:left w:val="nil"/>
              <w:right w:val="nil"/>
            </w:tcBorders>
            <w:shd w:val="clear" w:color="auto" w:fill="auto"/>
            <w:hideMark/>
          </w:tcPr>
          <w:p w14:paraId="5882D891" w14:textId="77777777" w:rsidR="00451CFA" w:rsidRPr="00B03143"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Utilization Rates</w:t>
            </w:r>
          </w:p>
          <w:p w14:paraId="2EBB0F5D" w14:textId="77777777" w:rsidR="00451CFA" w:rsidRPr="00B03143" w:rsidRDefault="00451CFA" w:rsidP="00B03143">
            <w:pPr>
              <w:spacing w:after="0" w:line="240" w:lineRule="auto"/>
              <w:ind w:left="144" w:hanging="144"/>
              <w:rPr>
                <w:rFonts w:ascii="Times New Roman" w:eastAsia="Times New Roman" w:hAnsi="Times New Roman" w:cs="Times New Roman"/>
                <w:color w:val="000000"/>
                <w:sz w:val="20"/>
                <w:szCs w:val="20"/>
                <w:lang w:val="en-US"/>
              </w:rPr>
            </w:pPr>
          </w:p>
          <w:p w14:paraId="594930B6"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Absenteeism</w:t>
            </w:r>
          </w:p>
        </w:tc>
        <w:tc>
          <w:tcPr>
            <w:tcW w:w="3888" w:type="dxa"/>
            <w:tcBorders>
              <w:top w:val="nil"/>
              <w:left w:val="nil"/>
              <w:right w:val="nil"/>
            </w:tcBorders>
            <w:shd w:val="clear" w:color="auto" w:fill="auto"/>
            <w:hideMark/>
          </w:tcPr>
          <w:p w14:paraId="67DE8C5C" w14:textId="77777777" w:rsidR="00451CFA" w:rsidRPr="00B03143" w:rsidRDefault="00B03143" w:rsidP="00B03143">
            <w:pPr>
              <w:spacing w:after="120" w:line="240" w:lineRule="auto"/>
              <w:ind w:left="144" w:hanging="144"/>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EAP sponsorship</w:t>
            </w:r>
            <w:r w:rsidR="00451CFA" w:rsidRPr="00451CFA">
              <w:rPr>
                <w:rFonts w:ascii="Times New Roman" w:eastAsia="Times New Roman" w:hAnsi="Times New Roman" w:cs="Times New Roman"/>
                <w:color w:val="000000"/>
                <w:sz w:val="20"/>
                <w:szCs w:val="20"/>
                <w:lang w:val="en-US"/>
              </w:rPr>
              <w:t xml:space="preserve"> </w:t>
            </w:r>
            <w:r w:rsidRPr="00B03143">
              <w:rPr>
                <w:rFonts w:ascii="Times New Roman" w:eastAsia="Times New Roman" w:hAnsi="Times New Roman" w:cs="Times New Roman"/>
                <w:color w:val="000000"/>
                <w:sz w:val="20"/>
                <w:szCs w:val="20"/>
                <w:lang w:val="en-US"/>
              </w:rPr>
              <w:t>and staffing</w:t>
            </w:r>
          </w:p>
          <w:p w14:paraId="5FBB81E2" w14:textId="77777777" w:rsidR="00B03143" w:rsidRPr="00B03143" w:rsidRDefault="00B03143" w:rsidP="00B03143">
            <w:pPr>
              <w:spacing w:after="120" w:line="240" w:lineRule="auto"/>
              <w:ind w:left="144" w:hanging="144"/>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Establ</w:t>
            </w:r>
            <w:r w:rsidR="00451CFA" w:rsidRPr="00451CFA">
              <w:rPr>
                <w:rFonts w:ascii="Times New Roman" w:eastAsia="Times New Roman" w:hAnsi="Times New Roman" w:cs="Times New Roman"/>
                <w:color w:val="000000"/>
                <w:sz w:val="20"/>
                <w:szCs w:val="20"/>
                <w:lang w:val="en-US"/>
              </w:rPr>
              <w:t xml:space="preserve">ishment's use of drug </w:t>
            </w:r>
            <w:r w:rsidRPr="00B03143">
              <w:rPr>
                <w:rFonts w:ascii="Times New Roman" w:eastAsia="Times New Roman" w:hAnsi="Times New Roman" w:cs="Times New Roman"/>
                <w:color w:val="000000"/>
                <w:sz w:val="20"/>
                <w:szCs w:val="20"/>
                <w:lang w:val="en-US"/>
              </w:rPr>
              <w:t>testing, formal drug policy</w:t>
            </w:r>
          </w:p>
          <w:p w14:paraId="37729A7C" w14:textId="77777777" w:rsidR="00B03143" w:rsidRPr="00B03143" w:rsidRDefault="00451CFA" w:rsidP="00B03143">
            <w:pPr>
              <w:spacing w:after="12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 xml:space="preserve">Establishment Size, Gender </w:t>
            </w:r>
            <w:r w:rsidR="00B03143" w:rsidRPr="00B03143">
              <w:rPr>
                <w:rFonts w:ascii="Times New Roman" w:eastAsia="Times New Roman" w:hAnsi="Times New Roman" w:cs="Times New Roman"/>
                <w:color w:val="000000"/>
                <w:sz w:val="20"/>
                <w:szCs w:val="20"/>
                <w:lang w:val="en-US"/>
              </w:rPr>
              <w:t xml:space="preserve">and Occupational composition </w:t>
            </w:r>
          </w:p>
          <w:p w14:paraId="429D69A7" w14:textId="77777777" w:rsidR="00451CFA" w:rsidRPr="00451CFA" w:rsidRDefault="00B03143" w:rsidP="00B03143">
            <w:pPr>
              <w:spacing w:after="120" w:line="240" w:lineRule="auto"/>
              <w:ind w:left="144" w:hanging="144"/>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N</w:t>
            </w:r>
            <w:r w:rsidR="00451CFA" w:rsidRPr="00451CFA">
              <w:rPr>
                <w:rFonts w:ascii="Times New Roman" w:eastAsia="Times New Roman" w:hAnsi="Times New Roman" w:cs="Times New Roman"/>
                <w:color w:val="000000"/>
                <w:sz w:val="20"/>
                <w:szCs w:val="20"/>
                <w:lang w:val="en-US"/>
              </w:rPr>
              <w:t>umber of injuries (classified as either lost-workday or no lost work)</w:t>
            </w:r>
          </w:p>
        </w:tc>
      </w:tr>
      <w:tr w:rsidR="00451CFA" w:rsidRPr="00B03143" w14:paraId="200BA28B" w14:textId="77777777" w:rsidTr="00526100">
        <w:trPr>
          <w:trHeight w:val="2520"/>
        </w:trPr>
        <w:tc>
          <w:tcPr>
            <w:tcW w:w="1584" w:type="dxa"/>
            <w:tcBorders>
              <w:top w:val="nil"/>
              <w:left w:val="nil"/>
              <w:bottom w:val="single" w:sz="4" w:space="0" w:color="auto"/>
              <w:right w:val="nil"/>
            </w:tcBorders>
          </w:tcPr>
          <w:p w14:paraId="72789B4F" w14:textId="77777777" w:rsidR="00451CFA" w:rsidRPr="00B03143" w:rsidRDefault="00451CFA" w:rsidP="00B03143">
            <w:pPr>
              <w:spacing w:after="0" w:line="240" w:lineRule="auto"/>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Outcomes</w:t>
            </w:r>
          </w:p>
        </w:tc>
        <w:tc>
          <w:tcPr>
            <w:tcW w:w="3600" w:type="dxa"/>
            <w:tcBorders>
              <w:top w:val="nil"/>
              <w:left w:val="nil"/>
              <w:bottom w:val="single" w:sz="4" w:space="0" w:color="auto"/>
              <w:right w:val="nil"/>
            </w:tcBorders>
            <w:shd w:val="clear" w:color="auto" w:fill="auto"/>
            <w:hideMark/>
          </w:tcPr>
          <w:p w14:paraId="17EB1FC3" w14:textId="77777777" w:rsidR="00B03143" w:rsidRPr="00B03143"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 xml:space="preserve">Statistically significant changes in absenteeism, presenteeism, life satisfaction, and workplace distress. </w:t>
            </w:r>
          </w:p>
          <w:p w14:paraId="322E2B45" w14:textId="77777777" w:rsidR="00B03143" w:rsidRPr="00B03143" w:rsidRDefault="00B03143" w:rsidP="00B03143">
            <w:pPr>
              <w:spacing w:after="0" w:line="240" w:lineRule="auto"/>
              <w:ind w:left="144" w:hanging="144"/>
              <w:rPr>
                <w:rFonts w:ascii="Times New Roman" w:eastAsia="Times New Roman" w:hAnsi="Times New Roman" w:cs="Times New Roman"/>
                <w:color w:val="000000"/>
                <w:sz w:val="20"/>
                <w:szCs w:val="20"/>
                <w:lang w:val="en-US"/>
              </w:rPr>
            </w:pPr>
          </w:p>
          <w:p w14:paraId="303ECF15" w14:textId="7039FFA0"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EAP services most likely contributed to changes in presenteeism, and Life Satisfaction</w:t>
            </w:r>
            <w:r w:rsidR="000D1DB5">
              <w:rPr>
                <w:rFonts w:ascii="Times New Roman" w:eastAsia="Times New Roman" w:hAnsi="Times New Roman" w:cs="Times New Roman"/>
                <w:color w:val="000000"/>
                <w:sz w:val="20"/>
                <w:szCs w:val="20"/>
                <w:lang w:val="en-US"/>
              </w:rPr>
              <w:t>.</w:t>
            </w:r>
          </w:p>
        </w:tc>
        <w:tc>
          <w:tcPr>
            <w:tcW w:w="3600" w:type="dxa"/>
            <w:tcBorders>
              <w:top w:val="nil"/>
              <w:left w:val="nil"/>
              <w:bottom w:val="single" w:sz="4" w:space="0" w:color="auto"/>
              <w:right w:val="nil"/>
            </w:tcBorders>
            <w:shd w:val="clear" w:color="auto" w:fill="auto"/>
            <w:hideMark/>
          </w:tcPr>
          <w:p w14:paraId="749B2A5F" w14:textId="77777777" w:rsidR="00B03143" w:rsidRPr="00B03143" w:rsidRDefault="00B03143" w:rsidP="00B03143">
            <w:pPr>
              <w:spacing w:after="0" w:line="240" w:lineRule="auto"/>
              <w:ind w:left="144" w:hanging="144"/>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 xml:space="preserve">Mean utilization = 9.4% </w:t>
            </w:r>
          </w:p>
          <w:p w14:paraId="7FB5853B" w14:textId="77777777" w:rsidR="00B03143" w:rsidRPr="00B03143" w:rsidRDefault="00B03143" w:rsidP="00B03143">
            <w:pPr>
              <w:spacing w:after="0" w:line="240" w:lineRule="auto"/>
              <w:ind w:left="144" w:hanging="144"/>
              <w:rPr>
                <w:rFonts w:ascii="Times New Roman" w:eastAsia="Times New Roman" w:hAnsi="Times New Roman" w:cs="Times New Roman"/>
                <w:color w:val="000000"/>
                <w:sz w:val="20"/>
                <w:szCs w:val="20"/>
                <w:lang w:val="en-US"/>
              </w:rPr>
            </w:pPr>
            <w:r w:rsidRPr="00B03143">
              <w:rPr>
                <w:rFonts w:ascii="Times New Roman" w:eastAsia="Times New Roman" w:hAnsi="Times New Roman" w:cs="Times New Roman"/>
                <w:color w:val="000000"/>
                <w:sz w:val="20"/>
                <w:szCs w:val="20"/>
                <w:lang w:val="en-US"/>
              </w:rPr>
              <w:t>N</w:t>
            </w:r>
            <w:r w:rsidR="00451CFA" w:rsidRPr="00451CFA">
              <w:rPr>
                <w:rFonts w:ascii="Times New Roman" w:eastAsia="Times New Roman" w:hAnsi="Times New Roman" w:cs="Times New Roman"/>
                <w:color w:val="000000"/>
                <w:sz w:val="20"/>
                <w:szCs w:val="20"/>
                <w:lang w:val="en-US"/>
              </w:rPr>
              <w:t>o statistically significant difference between absenteeism of EAP users and non-</w:t>
            </w:r>
            <w:r w:rsidRPr="00B03143">
              <w:rPr>
                <w:rFonts w:ascii="Times New Roman" w:eastAsia="Times New Roman" w:hAnsi="Times New Roman" w:cs="Times New Roman"/>
                <w:color w:val="000000"/>
                <w:sz w:val="20"/>
                <w:szCs w:val="20"/>
                <w:lang w:val="en-US"/>
              </w:rPr>
              <w:t>users.</w:t>
            </w:r>
          </w:p>
          <w:p w14:paraId="71C5190C"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 xml:space="preserve"> In years where EAP usage was higher, there was more absenteeism, but this number would then decrease the next year, demonstrating that EAP usage led to a decrease in absenteeism the subsequent year following use.</w:t>
            </w:r>
          </w:p>
        </w:tc>
        <w:tc>
          <w:tcPr>
            <w:tcW w:w="3888" w:type="dxa"/>
            <w:tcBorders>
              <w:top w:val="nil"/>
              <w:left w:val="nil"/>
              <w:bottom w:val="single" w:sz="4" w:space="0" w:color="auto"/>
              <w:right w:val="nil"/>
            </w:tcBorders>
            <w:shd w:val="clear" w:color="auto" w:fill="auto"/>
            <w:hideMark/>
          </w:tcPr>
          <w:p w14:paraId="315EE1DD" w14:textId="77777777" w:rsidR="00451CFA" w:rsidRPr="00451CFA" w:rsidRDefault="00451CFA" w:rsidP="00B03143">
            <w:pPr>
              <w:spacing w:after="0" w:line="240" w:lineRule="auto"/>
              <w:ind w:left="144" w:hanging="144"/>
              <w:rPr>
                <w:rFonts w:ascii="Times New Roman" w:eastAsia="Times New Roman" w:hAnsi="Times New Roman" w:cs="Times New Roman"/>
                <w:color w:val="000000"/>
                <w:sz w:val="20"/>
                <w:szCs w:val="20"/>
                <w:lang w:val="en-US"/>
              </w:rPr>
            </w:pPr>
            <w:r w:rsidRPr="00451CFA">
              <w:rPr>
                <w:rFonts w:ascii="Times New Roman" w:eastAsia="Times New Roman" w:hAnsi="Times New Roman" w:cs="Times New Roman"/>
                <w:color w:val="000000"/>
                <w:sz w:val="20"/>
                <w:szCs w:val="20"/>
                <w:lang w:val="en-US"/>
              </w:rPr>
              <w:t>Establishments with EAPs had 14% lower no lost work injury rates. EAPs that were management sponsored, and company staffed were associated with lower rates of lost-work injuries.</w:t>
            </w:r>
          </w:p>
        </w:tc>
      </w:tr>
    </w:tbl>
    <w:p w14:paraId="79677E5E" w14:textId="77777777" w:rsidR="00451CFA" w:rsidRPr="00F60D8C" w:rsidRDefault="00451CFA" w:rsidP="008654D6">
      <w:pPr>
        <w:rPr>
          <w:rFonts w:ascii="Times New Roman" w:hAnsi="Times New Roman" w:cs="Times New Roman"/>
          <w:sz w:val="24"/>
          <w:szCs w:val="24"/>
        </w:rPr>
        <w:sectPr w:rsidR="00451CFA" w:rsidRPr="00F60D8C" w:rsidSect="00E969CC">
          <w:pgSz w:w="15840" w:h="12240" w:orient="landscape"/>
          <w:pgMar w:top="1440" w:right="1440" w:bottom="1440" w:left="1440" w:header="720" w:footer="720" w:gutter="0"/>
          <w:cols w:space="720"/>
          <w:docGrid w:linePitch="360"/>
        </w:sectPr>
      </w:pPr>
    </w:p>
    <w:p w14:paraId="1267CE1E" w14:textId="69B1B587" w:rsidR="00C8478E" w:rsidRDefault="00F7177D" w:rsidP="00C847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Of importance however, was the increased use of a variety of standardized tools in the outcome evaluations during this decade with the Workplace Outcome Suite (WOS) appearing</w:t>
      </w:r>
      <w:r w:rsidRPr="00F60D8C">
        <w:rPr>
          <w:rFonts w:ascii="Times New Roman" w:hAnsi="Times New Roman" w:cs="Times New Roman"/>
          <w:sz w:val="24"/>
          <w:szCs w:val="24"/>
        </w:rPr>
        <w:t xml:space="preserve"> </w:t>
      </w:r>
      <w:r w:rsidR="00340869" w:rsidRPr="00F60D8C">
        <w:rPr>
          <w:rFonts w:ascii="Times New Roman" w:hAnsi="Times New Roman" w:cs="Times New Roman"/>
          <w:sz w:val="24"/>
          <w:szCs w:val="24"/>
        </w:rPr>
        <w:t>most frequ</w:t>
      </w:r>
      <w:r w:rsidR="00340869">
        <w:rPr>
          <w:rFonts w:ascii="Times New Roman" w:hAnsi="Times New Roman" w:cs="Times New Roman"/>
          <w:sz w:val="24"/>
          <w:szCs w:val="24"/>
        </w:rPr>
        <w:t>ently (n=7)</w:t>
      </w:r>
      <w:r w:rsidR="00340869" w:rsidRPr="00F60D8C">
        <w:rPr>
          <w:rFonts w:ascii="Times New Roman" w:hAnsi="Times New Roman" w:cs="Times New Roman"/>
          <w:sz w:val="24"/>
          <w:szCs w:val="24"/>
        </w:rPr>
        <w:t>. The Alcohol Use Disorders Identification Test</w:t>
      </w:r>
      <w:r w:rsidR="00340869">
        <w:rPr>
          <w:rFonts w:ascii="Times New Roman" w:hAnsi="Times New Roman" w:cs="Times New Roman"/>
          <w:sz w:val="24"/>
          <w:szCs w:val="24"/>
        </w:rPr>
        <w:t xml:space="preserve"> (AUDIT)</w:t>
      </w:r>
      <w:r w:rsidR="00340869" w:rsidRPr="00F60D8C">
        <w:rPr>
          <w:rFonts w:ascii="Times New Roman" w:hAnsi="Times New Roman" w:cs="Times New Roman"/>
          <w:sz w:val="24"/>
          <w:szCs w:val="24"/>
        </w:rPr>
        <w:t>, and the Global Assessment of Functioning</w:t>
      </w:r>
      <w:r w:rsidR="00340869">
        <w:rPr>
          <w:rFonts w:ascii="Times New Roman" w:hAnsi="Times New Roman" w:cs="Times New Roman"/>
          <w:sz w:val="24"/>
          <w:szCs w:val="24"/>
        </w:rPr>
        <w:t xml:space="preserve"> (GAF)</w:t>
      </w:r>
      <w:r w:rsidR="00340869" w:rsidRPr="00F60D8C">
        <w:rPr>
          <w:rFonts w:ascii="Times New Roman" w:hAnsi="Times New Roman" w:cs="Times New Roman"/>
          <w:sz w:val="24"/>
          <w:szCs w:val="24"/>
        </w:rPr>
        <w:t xml:space="preserve"> were each used in three studies. The Outcome Questionnaire – 45.2</w:t>
      </w:r>
      <w:r w:rsidR="00340869">
        <w:rPr>
          <w:rFonts w:ascii="Times New Roman" w:hAnsi="Times New Roman" w:cs="Times New Roman"/>
          <w:sz w:val="24"/>
          <w:szCs w:val="24"/>
        </w:rPr>
        <w:t xml:space="preserve"> (OQ-45.2)</w:t>
      </w:r>
      <w:r w:rsidR="00340869" w:rsidRPr="00F60D8C">
        <w:rPr>
          <w:rFonts w:ascii="Times New Roman" w:hAnsi="Times New Roman" w:cs="Times New Roman"/>
          <w:sz w:val="24"/>
          <w:szCs w:val="24"/>
        </w:rPr>
        <w:t>, the Problem Improvement Rating</w:t>
      </w:r>
      <w:r w:rsidR="00340869">
        <w:rPr>
          <w:rFonts w:ascii="Times New Roman" w:hAnsi="Times New Roman" w:cs="Times New Roman"/>
          <w:sz w:val="24"/>
          <w:szCs w:val="24"/>
        </w:rPr>
        <w:t xml:space="preserve"> (PIR)</w:t>
      </w:r>
      <w:r w:rsidR="00340869" w:rsidRPr="00F60D8C">
        <w:rPr>
          <w:rFonts w:ascii="Times New Roman" w:hAnsi="Times New Roman" w:cs="Times New Roman"/>
          <w:sz w:val="24"/>
          <w:szCs w:val="24"/>
        </w:rPr>
        <w:t>, General Anxiety Disorder- 2 item</w:t>
      </w:r>
      <w:r w:rsidR="00340869">
        <w:rPr>
          <w:rFonts w:ascii="Times New Roman" w:hAnsi="Times New Roman" w:cs="Times New Roman"/>
          <w:sz w:val="24"/>
          <w:szCs w:val="24"/>
        </w:rPr>
        <w:t xml:space="preserve"> (GAD-2)</w:t>
      </w:r>
      <w:r w:rsidR="00340869" w:rsidRPr="00F60D8C">
        <w:rPr>
          <w:rFonts w:ascii="Times New Roman" w:hAnsi="Times New Roman" w:cs="Times New Roman"/>
          <w:sz w:val="24"/>
          <w:szCs w:val="24"/>
        </w:rPr>
        <w:t>, and the Patient Health Questionnaire- 8 item</w:t>
      </w:r>
      <w:r w:rsidR="00340869">
        <w:rPr>
          <w:rFonts w:ascii="Times New Roman" w:hAnsi="Times New Roman" w:cs="Times New Roman"/>
          <w:sz w:val="24"/>
          <w:szCs w:val="24"/>
        </w:rPr>
        <w:t xml:space="preserve"> (PHQ-8)</w:t>
      </w:r>
      <w:r w:rsidR="00340869" w:rsidRPr="00F60D8C">
        <w:rPr>
          <w:rFonts w:ascii="Times New Roman" w:hAnsi="Times New Roman" w:cs="Times New Roman"/>
          <w:sz w:val="24"/>
          <w:szCs w:val="24"/>
        </w:rPr>
        <w:t xml:space="preserve">, were each used in two studies, </w:t>
      </w:r>
      <w:r w:rsidR="00340869">
        <w:rPr>
          <w:rFonts w:ascii="Times New Roman" w:hAnsi="Times New Roman" w:cs="Times New Roman"/>
          <w:sz w:val="24"/>
          <w:szCs w:val="24"/>
        </w:rPr>
        <w:t xml:space="preserve">though </w:t>
      </w:r>
      <w:r w:rsidR="00340869" w:rsidRPr="00F60D8C">
        <w:rPr>
          <w:rFonts w:ascii="Times New Roman" w:hAnsi="Times New Roman" w:cs="Times New Roman"/>
          <w:sz w:val="24"/>
          <w:szCs w:val="24"/>
        </w:rPr>
        <w:t xml:space="preserve">five studies did not use any standardized assessment tools at all. </w:t>
      </w:r>
      <w:r w:rsidR="00340869">
        <w:rPr>
          <w:rFonts w:ascii="Times New Roman" w:hAnsi="Times New Roman" w:cs="Times New Roman"/>
          <w:sz w:val="24"/>
          <w:szCs w:val="24"/>
        </w:rPr>
        <w:t>A total of 23 different variables were included across the 15</w:t>
      </w:r>
      <w:r w:rsidR="004B29CB">
        <w:rPr>
          <w:rFonts w:ascii="Times New Roman" w:hAnsi="Times New Roman" w:cs="Times New Roman"/>
          <w:sz w:val="24"/>
          <w:szCs w:val="24"/>
        </w:rPr>
        <w:t xml:space="preserve"> </w:t>
      </w:r>
      <w:r w:rsidR="00C8478E">
        <w:rPr>
          <w:rFonts w:ascii="Times New Roman" w:hAnsi="Times New Roman" w:cs="Times New Roman"/>
          <w:sz w:val="24"/>
          <w:szCs w:val="24"/>
        </w:rPr>
        <w:t xml:space="preserve">outcome studies. Absenteeism appeared most frequently and was included </w:t>
      </w:r>
      <w:r w:rsidR="00C8478E" w:rsidRPr="00F60D8C">
        <w:rPr>
          <w:rFonts w:ascii="Times New Roman" w:hAnsi="Times New Roman" w:cs="Times New Roman"/>
          <w:sz w:val="24"/>
          <w:szCs w:val="24"/>
        </w:rPr>
        <w:t xml:space="preserve">in nine of the studies. The next most common variables examined were presenteesim (n=7), workplace distress (n=7), workplace engagement (n=5) and life satisfaction (n=5). Each of these variables </w:t>
      </w:r>
      <w:r w:rsidR="00340869">
        <w:rPr>
          <w:rFonts w:ascii="Times New Roman" w:hAnsi="Times New Roman" w:cs="Times New Roman"/>
          <w:sz w:val="24"/>
          <w:szCs w:val="24"/>
        </w:rPr>
        <w:t xml:space="preserve">is </w:t>
      </w:r>
      <w:r w:rsidR="00C8478E" w:rsidRPr="00F60D8C">
        <w:rPr>
          <w:rFonts w:ascii="Times New Roman" w:hAnsi="Times New Roman" w:cs="Times New Roman"/>
          <w:sz w:val="24"/>
          <w:szCs w:val="24"/>
        </w:rPr>
        <w:t xml:space="preserve">included as scales in the Workplace Outcome Suite, </w:t>
      </w:r>
      <w:r w:rsidR="00C8478E">
        <w:rPr>
          <w:rFonts w:ascii="Times New Roman" w:hAnsi="Times New Roman" w:cs="Times New Roman"/>
          <w:sz w:val="24"/>
          <w:szCs w:val="24"/>
        </w:rPr>
        <w:t>which was used in seven of the studies, explaining the frequency of these five variables</w:t>
      </w:r>
      <w:r w:rsidR="00C8478E" w:rsidRPr="00F60D8C">
        <w:rPr>
          <w:rFonts w:ascii="Times New Roman" w:hAnsi="Times New Roman" w:cs="Times New Roman"/>
          <w:sz w:val="24"/>
          <w:szCs w:val="24"/>
        </w:rPr>
        <w:t xml:space="preserve"> in this sample. </w:t>
      </w:r>
    </w:p>
    <w:p w14:paraId="335B1304" w14:textId="77777777" w:rsidR="00C8478E" w:rsidRPr="007B1472" w:rsidRDefault="00B00851" w:rsidP="00C8478E">
      <w:pPr>
        <w:spacing w:line="480" w:lineRule="auto"/>
        <w:rPr>
          <w:rFonts w:ascii="Times New Roman" w:hAnsi="Times New Roman" w:cs="Times New Roman"/>
          <w:sz w:val="24"/>
          <w:szCs w:val="24"/>
        </w:rPr>
      </w:pPr>
      <w:r>
        <w:rPr>
          <w:rFonts w:ascii="Times New Roman" w:hAnsi="Times New Roman" w:cs="Times New Roman"/>
          <w:sz w:val="24"/>
          <w:szCs w:val="24"/>
        </w:rPr>
        <w:tab/>
      </w:r>
      <w:r w:rsidR="00C8478E">
        <w:rPr>
          <w:rFonts w:ascii="Times New Roman" w:hAnsi="Times New Roman" w:cs="Times New Roman"/>
          <w:sz w:val="24"/>
          <w:szCs w:val="24"/>
        </w:rPr>
        <w:t xml:space="preserve">While the vast majority of reported outcomes were positive, including reductions in absenteeism (Li et al., 2015; Mintzer et al., 2018; Nune et al., 2017; Richmond et al., 2017; Sharar &amp; Lennox, 2014; Sharar et al., 2012) and high levels of employee satisfaction (Anema &amp; Sligar, 2010), some of the included studies reported some negative findings as well. In a review of 100 charts from the United States Department of Defense’s Internal EAP, Clavelle et al. (2012) found that 13% of clients reported increased dysfunction via the OQ-45.2 and 2% of clients were deemed to have clearly worsened from before intake to after EAP counseling completion via the PIR. </w:t>
      </w:r>
    </w:p>
    <w:p w14:paraId="47F54A2F" w14:textId="77777777" w:rsidR="004C4836" w:rsidRPr="00D41809" w:rsidRDefault="00783116" w:rsidP="007B1472">
      <w:pPr>
        <w:spacing w:line="480" w:lineRule="auto"/>
        <w:rPr>
          <w:rFonts w:ascii="Times New Roman" w:hAnsi="Times New Roman" w:cs="Times New Roman"/>
          <w:b/>
          <w:bCs/>
          <w:sz w:val="24"/>
          <w:szCs w:val="24"/>
        </w:rPr>
      </w:pPr>
      <w:r w:rsidRPr="00D41809">
        <w:rPr>
          <w:rFonts w:ascii="Times New Roman" w:hAnsi="Times New Roman" w:cs="Times New Roman"/>
          <w:b/>
          <w:bCs/>
          <w:sz w:val="24"/>
          <w:szCs w:val="24"/>
        </w:rPr>
        <w:t>Process Evaluation</w:t>
      </w:r>
      <w:r w:rsidR="007B68FA" w:rsidRPr="00D41809">
        <w:rPr>
          <w:rFonts w:ascii="Times New Roman" w:hAnsi="Times New Roman" w:cs="Times New Roman"/>
          <w:b/>
          <w:bCs/>
          <w:sz w:val="24"/>
          <w:szCs w:val="24"/>
        </w:rPr>
        <w:t>s</w:t>
      </w:r>
    </w:p>
    <w:p w14:paraId="282BBCBA" w14:textId="7166A626" w:rsidR="00B00851" w:rsidRDefault="00B00851" w:rsidP="00B00851">
      <w:pPr>
        <w:spacing w:line="480" w:lineRule="auto"/>
        <w:rPr>
          <w:rFonts w:ascii="Times New Roman" w:hAnsi="Times New Roman" w:cs="Times New Roman"/>
          <w:sz w:val="24"/>
          <w:szCs w:val="24"/>
        </w:rPr>
      </w:pPr>
      <w:r>
        <w:rPr>
          <w:rFonts w:ascii="Times New Roman" w:hAnsi="Times New Roman" w:cs="Times New Roman"/>
          <w:sz w:val="24"/>
          <w:szCs w:val="24"/>
        </w:rPr>
        <w:tab/>
      </w:r>
      <w:r w:rsidR="007B68FA">
        <w:rPr>
          <w:rFonts w:ascii="Times New Roman" w:hAnsi="Times New Roman" w:cs="Times New Roman"/>
          <w:sz w:val="24"/>
          <w:szCs w:val="24"/>
        </w:rPr>
        <w:t xml:space="preserve">Seven process evaluations were found in the </w:t>
      </w:r>
      <w:r w:rsidR="00C922C4">
        <w:rPr>
          <w:rFonts w:ascii="Times New Roman" w:hAnsi="Times New Roman" w:cs="Times New Roman"/>
          <w:sz w:val="24"/>
          <w:szCs w:val="24"/>
        </w:rPr>
        <w:t xml:space="preserve">peer-reviewed </w:t>
      </w:r>
      <w:r w:rsidR="007B68FA">
        <w:rPr>
          <w:rFonts w:ascii="Times New Roman" w:hAnsi="Times New Roman" w:cs="Times New Roman"/>
          <w:sz w:val="24"/>
          <w:szCs w:val="24"/>
        </w:rPr>
        <w:t xml:space="preserve">literature between 2010 and 2019, </w:t>
      </w:r>
      <w:r w:rsidR="006003AB">
        <w:rPr>
          <w:rFonts w:ascii="Times New Roman" w:hAnsi="Times New Roman" w:cs="Times New Roman"/>
          <w:sz w:val="24"/>
          <w:szCs w:val="24"/>
        </w:rPr>
        <w:t xml:space="preserve">two from South Africa, two from the United States, and one each from Australia, </w:t>
      </w:r>
      <w:r w:rsidR="006003AB">
        <w:rPr>
          <w:rFonts w:ascii="Times New Roman" w:hAnsi="Times New Roman" w:cs="Times New Roman"/>
          <w:sz w:val="24"/>
          <w:szCs w:val="24"/>
        </w:rPr>
        <w:lastRenderedPageBreak/>
        <w:t>Bang</w:t>
      </w:r>
      <w:r w:rsidR="001E3EC8">
        <w:rPr>
          <w:rFonts w:ascii="Times New Roman" w:hAnsi="Times New Roman" w:cs="Times New Roman"/>
          <w:sz w:val="24"/>
          <w:szCs w:val="24"/>
        </w:rPr>
        <w:t>ladesh, and Canada</w:t>
      </w:r>
      <w:r w:rsidR="006003AB">
        <w:rPr>
          <w:rFonts w:ascii="Times New Roman" w:hAnsi="Times New Roman" w:cs="Times New Roman"/>
          <w:sz w:val="24"/>
          <w:szCs w:val="24"/>
        </w:rPr>
        <w:t xml:space="preserve">. Four were based upon EAPs with an internal model, two using exclusively external services, and one which utilized a hybrid internal/external EAP model. As has been seen in previous </w:t>
      </w:r>
      <w:r w:rsidR="00FD1877">
        <w:rPr>
          <w:rFonts w:ascii="Times New Roman" w:hAnsi="Times New Roman" w:cs="Times New Roman"/>
          <w:sz w:val="24"/>
          <w:szCs w:val="24"/>
        </w:rPr>
        <w:t xml:space="preserve">reviews (Csiernik, </w:t>
      </w:r>
      <w:r w:rsidR="00C922C4">
        <w:rPr>
          <w:rFonts w:ascii="Times New Roman" w:hAnsi="Times New Roman" w:cs="Times New Roman"/>
          <w:sz w:val="24"/>
          <w:szCs w:val="24"/>
        </w:rPr>
        <w:t xml:space="preserve">1995; </w:t>
      </w:r>
      <w:r w:rsidR="00FD1877">
        <w:rPr>
          <w:rFonts w:ascii="Times New Roman" w:hAnsi="Times New Roman" w:cs="Times New Roman"/>
          <w:sz w:val="24"/>
          <w:szCs w:val="24"/>
        </w:rPr>
        <w:t>2005; 2011), a variety of data sources were used within these sev</w:t>
      </w:r>
      <w:r w:rsidR="006C2674">
        <w:rPr>
          <w:rFonts w:ascii="Times New Roman" w:hAnsi="Times New Roman" w:cs="Times New Roman"/>
          <w:sz w:val="24"/>
          <w:szCs w:val="24"/>
        </w:rPr>
        <w:t>en process evaluations. In past reviews of literature,</w:t>
      </w:r>
      <w:r w:rsidR="00FD1877">
        <w:rPr>
          <w:rFonts w:ascii="Times New Roman" w:hAnsi="Times New Roman" w:cs="Times New Roman"/>
          <w:sz w:val="24"/>
          <w:szCs w:val="24"/>
        </w:rPr>
        <w:t xml:space="preserve"> multiple</w:t>
      </w:r>
      <w:r w:rsidR="006C2674">
        <w:rPr>
          <w:rFonts w:ascii="Times New Roman" w:hAnsi="Times New Roman" w:cs="Times New Roman"/>
          <w:sz w:val="24"/>
          <w:szCs w:val="24"/>
        </w:rPr>
        <w:t xml:space="preserve"> methods of data have </w:t>
      </w:r>
      <w:r w:rsidR="00FD1877">
        <w:rPr>
          <w:rFonts w:ascii="Times New Roman" w:hAnsi="Times New Roman" w:cs="Times New Roman"/>
          <w:sz w:val="24"/>
          <w:szCs w:val="24"/>
        </w:rPr>
        <w:t>been included in each evaluation</w:t>
      </w:r>
      <w:r w:rsidR="00C922C4">
        <w:rPr>
          <w:rFonts w:ascii="Times New Roman" w:hAnsi="Times New Roman" w:cs="Times New Roman"/>
          <w:sz w:val="24"/>
          <w:szCs w:val="24"/>
        </w:rPr>
        <w:t>, however,</w:t>
      </w:r>
      <w:r w:rsidR="006C2674">
        <w:rPr>
          <w:rFonts w:ascii="Times New Roman" w:hAnsi="Times New Roman" w:cs="Times New Roman"/>
          <w:sz w:val="24"/>
          <w:szCs w:val="24"/>
        </w:rPr>
        <w:t xml:space="preserve"> t</w:t>
      </w:r>
      <w:r w:rsidR="00FD1877">
        <w:rPr>
          <w:rFonts w:ascii="Times New Roman" w:hAnsi="Times New Roman" w:cs="Times New Roman"/>
          <w:sz w:val="24"/>
          <w:szCs w:val="24"/>
        </w:rPr>
        <w:t xml:space="preserve">he average number of different methods used in </w:t>
      </w:r>
      <w:r w:rsidR="00C922C4">
        <w:rPr>
          <w:rFonts w:ascii="Times New Roman" w:hAnsi="Times New Roman" w:cs="Times New Roman"/>
          <w:sz w:val="24"/>
          <w:szCs w:val="24"/>
        </w:rPr>
        <w:t>studies published between 2010 and 2019 was only</w:t>
      </w:r>
      <w:r w:rsidR="00983E91">
        <w:rPr>
          <w:rFonts w:ascii="Times New Roman" w:hAnsi="Times New Roman" w:cs="Times New Roman"/>
          <w:sz w:val="24"/>
          <w:szCs w:val="24"/>
        </w:rPr>
        <w:t xml:space="preserve"> 1.7 (</w:t>
      </w:r>
      <w:r w:rsidR="00A6656B">
        <w:rPr>
          <w:rFonts w:ascii="Times New Roman" w:hAnsi="Times New Roman" w:cs="Times New Roman"/>
          <w:sz w:val="24"/>
          <w:szCs w:val="24"/>
        </w:rPr>
        <w:t>median</w:t>
      </w:r>
      <w:r w:rsidR="00983E91">
        <w:rPr>
          <w:rFonts w:ascii="Times New Roman" w:hAnsi="Times New Roman" w:cs="Times New Roman"/>
          <w:sz w:val="24"/>
          <w:szCs w:val="24"/>
        </w:rPr>
        <w:t xml:space="preserve"> = 2, mode = 1)</w:t>
      </w:r>
      <w:r w:rsidR="006C2674">
        <w:rPr>
          <w:rFonts w:ascii="Times New Roman" w:hAnsi="Times New Roman" w:cs="Times New Roman"/>
          <w:sz w:val="24"/>
          <w:szCs w:val="24"/>
        </w:rPr>
        <w:t xml:space="preserve">. Csiernik et al. </w:t>
      </w:r>
      <w:r w:rsidR="0001446A">
        <w:rPr>
          <w:rFonts w:ascii="Times New Roman" w:hAnsi="Times New Roman" w:cs="Times New Roman"/>
          <w:sz w:val="24"/>
          <w:szCs w:val="24"/>
        </w:rPr>
        <w:t>(2012) use</w:t>
      </w:r>
      <w:r w:rsidR="00983E91">
        <w:rPr>
          <w:rFonts w:ascii="Times New Roman" w:hAnsi="Times New Roman" w:cs="Times New Roman"/>
          <w:sz w:val="24"/>
          <w:szCs w:val="24"/>
        </w:rPr>
        <w:t>d</w:t>
      </w:r>
      <w:r w:rsidR="0001446A">
        <w:rPr>
          <w:rFonts w:ascii="Times New Roman" w:hAnsi="Times New Roman" w:cs="Times New Roman"/>
          <w:sz w:val="24"/>
          <w:szCs w:val="24"/>
        </w:rPr>
        <w:t xml:space="preserve"> </w:t>
      </w:r>
      <w:r w:rsidR="00A6656B">
        <w:rPr>
          <w:rFonts w:ascii="Times New Roman" w:hAnsi="Times New Roman" w:cs="Times New Roman"/>
          <w:sz w:val="24"/>
          <w:szCs w:val="24"/>
        </w:rPr>
        <w:t xml:space="preserve">the greatest number of </w:t>
      </w:r>
      <w:r w:rsidR="0001446A">
        <w:rPr>
          <w:rFonts w:ascii="Times New Roman" w:hAnsi="Times New Roman" w:cs="Times New Roman"/>
          <w:sz w:val="24"/>
          <w:szCs w:val="24"/>
        </w:rPr>
        <w:t xml:space="preserve">different </w:t>
      </w:r>
      <w:r w:rsidR="00592DAD">
        <w:rPr>
          <w:rFonts w:ascii="Times New Roman" w:hAnsi="Times New Roman" w:cs="Times New Roman"/>
          <w:sz w:val="24"/>
          <w:szCs w:val="24"/>
        </w:rPr>
        <w:t xml:space="preserve">data collection </w:t>
      </w:r>
      <w:r w:rsidR="0001446A">
        <w:rPr>
          <w:rFonts w:ascii="Times New Roman" w:hAnsi="Times New Roman" w:cs="Times New Roman"/>
          <w:sz w:val="24"/>
          <w:szCs w:val="24"/>
        </w:rPr>
        <w:t xml:space="preserve">methods with </w:t>
      </w:r>
      <w:r w:rsidR="00C922C4">
        <w:rPr>
          <w:rFonts w:ascii="Times New Roman" w:hAnsi="Times New Roman" w:cs="Times New Roman"/>
          <w:sz w:val="24"/>
          <w:szCs w:val="24"/>
        </w:rPr>
        <w:t>four</w:t>
      </w:r>
      <w:r w:rsidR="00A6656B">
        <w:rPr>
          <w:rFonts w:ascii="Times New Roman" w:hAnsi="Times New Roman" w:cs="Times New Roman"/>
          <w:sz w:val="24"/>
          <w:szCs w:val="24"/>
        </w:rPr>
        <w:t>.</w:t>
      </w:r>
      <w:r w:rsidR="0001446A">
        <w:rPr>
          <w:rFonts w:ascii="Times New Roman" w:hAnsi="Times New Roman" w:cs="Times New Roman"/>
          <w:sz w:val="24"/>
          <w:szCs w:val="24"/>
        </w:rPr>
        <w:t xml:space="preserve"> </w:t>
      </w:r>
      <w:r w:rsidR="009B5E97">
        <w:rPr>
          <w:rFonts w:ascii="Times New Roman" w:hAnsi="Times New Roman" w:cs="Times New Roman"/>
          <w:sz w:val="24"/>
          <w:szCs w:val="24"/>
        </w:rPr>
        <w:t>Six of the studies included</w:t>
      </w:r>
      <w:r w:rsidR="001E3EC8">
        <w:rPr>
          <w:rFonts w:ascii="Times New Roman" w:hAnsi="Times New Roman" w:cs="Times New Roman"/>
          <w:sz w:val="24"/>
          <w:szCs w:val="24"/>
        </w:rPr>
        <w:t xml:space="preserve"> </w:t>
      </w:r>
      <w:r w:rsidR="00F7177D">
        <w:rPr>
          <w:rFonts w:ascii="Times New Roman" w:hAnsi="Times New Roman" w:cs="Times New Roman"/>
          <w:sz w:val="24"/>
          <w:szCs w:val="24"/>
        </w:rPr>
        <w:t xml:space="preserve">a </w:t>
      </w:r>
      <w:r w:rsidR="001E3EC8">
        <w:rPr>
          <w:rFonts w:ascii="Times New Roman" w:hAnsi="Times New Roman" w:cs="Times New Roman"/>
          <w:sz w:val="24"/>
          <w:szCs w:val="24"/>
        </w:rPr>
        <w:t xml:space="preserve">survey of employees or EAP users as one of their data collection methods. Other data collection </w:t>
      </w:r>
      <w:r w:rsidR="006C2674">
        <w:rPr>
          <w:rFonts w:ascii="Times New Roman" w:hAnsi="Times New Roman" w:cs="Times New Roman"/>
          <w:sz w:val="24"/>
          <w:szCs w:val="24"/>
        </w:rPr>
        <w:t>methods</w:t>
      </w:r>
      <w:r w:rsidR="001E3EC8">
        <w:rPr>
          <w:rFonts w:ascii="Times New Roman" w:hAnsi="Times New Roman" w:cs="Times New Roman"/>
          <w:sz w:val="24"/>
          <w:szCs w:val="24"/>
        </w:rPr>
        <w:t xml:space="preserve"> include</w:t>
      </w:r>
      <w:r w:rsidR="006C2674">
        <w:rPr>
          <w:rFonts w:ascii="Times New Roman" w:hAnsi="Times New Roman" w:cs="Times New Roman"/>
          <w:sz w:val="24"/>
          <w:szCs w:val="24"/>
        </w:rPr>
        <w:t>d</w:t>
      </w:r>
      <w:r w:rsidR="001E3EC8">
        <w:rPr>
          <w:rFonts w:ascii="Times New Roman" w:hAnsi="Times New Roman" w:cs="Times New Roman"/>
          <w:sz w:val="24"/>
          <w:szCs w:val="24"/>
        </w:rPr>
        <w:t xml:space="preserve"> survey or interview with EAP representatives or stakeholders, review of best practice literature, and review of EAP’</w:t>
      </w:r>
      <w:r>
        <w:rPr>
          <w:rFonts w:ascii="Times New Roman" w:hAnsi="Times New Roman" w:cs="Times New Roman"/>
          <w:sz w:val="24"/>
          <w:szCs w:val="24"/>
        </w:rPr>
        <w:t xml:space="preserve">s utilization data (Table 4). Four of the studies (Compton &amp; McManus, 2015; Huda, 2018, Pollack et al., 2010; Sieberhagan et al., 2011) evaluated multiple organizations across a region or a sector of business. Of the remaining three articles classified as process evaluations, one evaluated a Canadian public sector EAP which encompasses multiple linked workplaces, one evaluated a South African municipal public sector EAP, and one evaluated two EAP providers for the United States military. Both Compton and McManus (2015) and Sieberhagan et al. (2011) reported that a large number of the organizations included in their evaluation did not adequately track data related to program success. While Compton and McManus (2015) found that over 50% of organizations did not currently track EAP utilization by employee type or by age, their open-ended questions also revealed that organizations </w:t>
      </w:r>
      <w:r w:rsidR="00C922C4">
        <w:rPr>
          <w:rFonts w:ascii="Times New Roman" w:hAnsi="Times New Roman" w:cs="Times New Roman"/>
          <w:sz w:val="24"/>
          <w:szCs w:val="24"/>
        </w:rPr>
        <w:t xml:space="preserve">were still </w:t>
      </w:r>
      <w:r>
        <w:rPr>
          <w:rFonts w:ascii="Times New Roman" w:hAnsi="Times New Roman" w:cs="Times New Roman"/>
          <w:sz w:val="24"/>
          <w:szCs w:val="24"/>
        </w:rPr>
        <w:t>express</w:t>
      </w:r>
      <w:r w:rsidR="00C922C4">
        <w:rPr>
          <w:rFonts w:ascii="Times New Roman" w:hAnsi="Times New Roman" w:cs="Times New Roman"/>
          <w:sz w:val="24"/>
          <w:szCs w:val="24"/>
        </w:rPr>
        <w:t>ing</w:t>
      </w:r>
      <w:r>
        <w:rPr>
          <w:rFonts w:ascii="Times New Roman" w:hAnsi="Times New Roman" w:cs="Times New Roman"/>
          <w:sz w:val="24"/>
          <w:szCs w:val="24"/>
        </w:rPr>
        <w:t xml:space="preserve"> a desire for support in developing standards and processes for collecting data that would be helpful for continuing internal evaluation. Huda’s (2018) evaluation demonstrated a lack of positive change associated with participating in the EAP that is currently serving employees in Bangladesh’s ready-made garment sector, but the </w:t>
      </w:r>
    </w:p>
    <w:p w14:paraId="30F3E245" w14:textId="77777777" w:rsidR="00B44463" w:rsidRDefault="00B44463" w:rsidP="00C82D55">
      <w:pPr>
        <w:spacing w:line="480" w:lineRule="auto"/>
        <w:rPr>
          <w:rFonts w:ascii="Times New Roman" w:hAnsi="Times New Roman" w:cs="Times New Roman"/>
          <w:sz w:val="24"/>
          <w:szCs w:val="24"/>
        </w:rPr>
        <w:sectPr w:rsidR="00B44463" w:rsidSect="00B44463">
          <w:pgSz w:w="12240" w:h="15840"/>
          <w:pgMar w:top="1440" w:right="1440" w:bottom="1440" w:left="1440" w:header="720" w:footer="720" w:gutter="0"/>
          <w:cols w:space="720"/>
          <w:docGrid w:linePitch="360"/>
        </w:sectPr>
      </w:pPr>
    </w:p>
    <w:p w14:paraId="173C3B79" w14:textId="77777777" w:rsidR="007C6BB0" w:rsidRDefault="007163F4" w:rsidP="007C6BB0">
      <w:pPr>
        <w:tabs>
          <w:tab w:val="left" w:pos="12870"/>
        </w:tabs>
        <w:rPr>
          <w:rFonts w:ascii="Times New Roman" w:hAnsi="Times New Roman" w:cs="Times New Roman"/>
          <w:sz w:val="24"/>
          <w:szCs w:val="24"/>
        </w:rPr>
      </w:pPr>
      <w:r>
        <w:rPr>
          <w:rFonts w:ascii="Times New Roman" w:hAnsi="Times New Roman" w:cs="Times New Roman"/>
          <w:sz w:val="24"/>
          <w:szCs w:val="24"/>
        </w:rPr>
        <w:lastRenderedPageBreak/>
        <w:t>Table 4</w:t>
      </w:r>
    </w:p>
    <w:p w14:paraId="7CC25297" w14:textId="77777777" w:rsidR="007C6BB0" w:rsidRPr="007163F4" w:rsidRDefault="007163F4" w:rsidP="00B44463">
      <w:pPr>
        <w:tabs>
          <w:tab w:val="left" w:pos="12870"/>
        </w:tabs>
        <w:rPr>
          <w:rFonts w:ascii="Times New Roman" w:hAnsi="Times New Roman" w:cs="Times New Roman"/>
          <w:i/>
          <w:sz w:val="24"/>
          <w:szCs w:val="24"/>
        </w:rPr>
      </w:pPr>
      <w:r w:rsidRPr="007163F4">
        <w:rPr>
          <w:rFonts w:ascii="Times New Roman" w:hAnsi="Times New Roman" w:cs="Times New Roman"/>
          <w:i/>
          <w:sz w:val="24"/>
          <w:szCs w:val="24"/>
        </w:rPr>
        <w:t>Process Evaluation Study Summaries</w:t>
      </w:r>
    </w:p>
    <w:tbl>
      <w:tblPr>
        <w:tblW w:w="12816" w:type="dxa"/>
        <w:tblCellMar>
          <w:left w:w="115" w:type="dxa"/>
          <w:right w:w="115" w:type="dxa"/>
        </w:tblCellMar>
        <w:tblLook w:val="04A0" w:firstRow="1" w:lastRow="0" w:firstColumn="1" w:lastColumn="0" w:noHBand="0" w:noVBand="1"/>
      </w:tblPr>
      <w:tblGrid>
        <w:gridCol w:w="1584"/>
        <w:gridCol w:w="2880"/>
        <w:gridCol w:w="2880"/>
        <w:gridCol w:w="2736"/>
        <w:gridCol w:w="2736"/>
      </w:tblGrid>
      <w:tr w:rsidR="00B44463" w:rsidRPr="00B44463" w14:paraId="19039BA6" w14:textId="77777777" w:rsidTr="00812DD6">
        <w:trPr>
          <w:trHeight w:val="288"/>
        </w:trPr>
        <w:tc>
          <w:tcPr>
            <w:tcW w:w="1584" w:type="dxa"/>
            <w:tcBorders>
              <w:top w:val="single" w:sz="4" w:space="0" w:color="auto"/>
              <w:left w:val="nil"/>
              <w:right w:val="nil"/>
            </w:tcBorders>
            <w:shd w:val="clear" w:color="auto" w:fill="auto"/>
            <w:noWrap/>
            <w:vAlign w:val="bottom"/>
            <w:hideMark/>
          </w:tcPr>
          <w:p w14:paraId="45E76F8E" w14:textId="77777777" w:rsidR="00B44463" w:rsidRPr="00B44463" w:rsidRDefault="00B44463" w:rsidP="00B44463">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Author</w:t>
            </w:r>
          </w:p>
        </w:tc>
        <w:tc>
          <w:tcPr>
            <w:tcW w:w="2880" w:type="dxa"/>
            <w:tcBorders>
              <w:top w:val="single" w:sz="4" w:space="0" w:color="auto"/>
              <w:left w:val="nil"/>
              <w:right w:val="nil"/>
            </w:tcBorders>
            <w:shd w:val="clear" w:color="auto" w:fill="auto"/>
            <w:vAlign w:val="bottom"/>
            <w:hideMark/>
          </w:tcPr>
          <w:p w14:paraId="5AAF686F"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Compton &amp; McManus</w:t>
            </w:r>
          </w:p>
        </w:tc>
        <w:tc>
          <w:tcPr>
            <w:tcW w:w="2880" w:type="dxa"/>
            <w:tcBorders>
              <w:top w:val="single" w:sz="4" w:space="0" w:color="auto"/>
              <w:left w:val="nil"/>
              <w:right w:val="nil"/>
            </w:tcBorders>
            <w:shd w:val="clear" w:color="auto" w:fill="auto"/>
            <w:vAlign w:val="bottom"/>
            <w:hideMark/>
          </w:tcPr>
          <w:p w14:paraId="16465FF7"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Csiernik, Chaulk, &amp; M</w:t>
            </w:r>
            <w:r w:rsidR="009F5CC9">
              <w:rPr>
                <w:rFonts w:ascii="Times New Roman" w:eastAsia="Times New Roman" w:hAnsi="Times New Roman" w:cs="Times New Roman"/>
                <w:color w:val="000000"/>
                <w:sz w:val="20"/>
                <w:lang w:val="en-US"/>
              </w:rPr>
              <w:t>c</w:t>
            </w:r>
            <w:r w:rsidRPr="00B44463">
              <w:rPr>
                <w:rFonts w:ascii="Times New Roman" w:eastAsia="Times New Roman" w:hAnsi="Times New Roman" w:cs="Times New Roman"/>
                <w:color w:val="000000"/>
                <w:sz w:val="20"/>
                <w:lang w:val="en-US"/>
              </w:rPr>
              <w:t>Quaid</w:t>
            </w:r>
          </w:p>
        </w:tc>
        <w:tc>
          <w:tcPr>
            <w:tcW w:w="2736" w:type="dxa"/>
            <w:tcBorders>
              <w:top w:val="single" w:sz="4" w:space="0" w:color="auto"/>
              <w:left w:val="nil"/>
              <w:right w:val="nil"/>
            </w:tcBorders>
            <w:shd w:val="clear" w:color="auto" w:fill="auto"/>
            <w:vAlign w:val="bottom"/>
            <w:hideMark/>
          </w:tcPr>
          <w:p w14:paraId="24DC40F4"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Huda</w:t>
            </w:r>
          </w:p>
        </w:tc>
        <w:tc>
          <w:tcPr>
            <w:tcW w:w="2736" w:type="dxa"/>
            <w:tcBorders>
              <w:top w:val="single" w:sz="4" w:space="0" w:color="auto"/>
              <w:left w:val="nil"/>
              <w:right w:val="nil"/>
            </w:tcBorders>
            <w:shd w:val="clear" w:color="auto" w:fill="auto"/>
            <w:vAlign w:val="bottom"/>
            <w:hideMark/>
          </w:tcPr>
          <w:p w14:paraId="30B4894A"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Mugari, Mtapuri, &amp; Rangongo</w:t>
            </w:r>
          </w:p>
        </w:tc>
      </w:tr>
      <w:tr w:rsidR="00B44463" w:rsidRPr="00B44463" w14:paraId="27771DC0" w14:textId="77777777" w:rsidTr="00812DD6">
        <w:trPr>
          <w:trHeight w:val="288"/>
        </w:trPr>
        <w:tc>
          <w:tcPr>
            <w:tcW w:w="1584" w:type="dxa"/>
            <w:tcBorders>
              <w:top w:val="nil"/>
              <w:left w:val="nil"/>
              <w:bottom w:val="single" w:sz="4" w:space="0" w:color="auto"/>
              <w:right w:val="nil"/>
            </w:tcBorders>
            <w:shd w:val="clear" w:color="auto" w:fill="auto"/>
            <w:noWrap/>
          </w:tcPr>
          <w:p w14:paraId="3A76F8E3" w14:textId="77777777" w:rsidR="00B44463" w:rsidRPr="00B44463" w:rsidRDefault="00B44463" w:rsidP="00B44463">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Year</w:t>
            </w:r>
          </w:p>
        </w:tc>
        <w:tc>
          <w:tcPr>
            <w:tcW w:w="2880" w:type="dxa"/>
            <w:tcBorders>
              <w:top w:val="nil"/>
              <w:left w:val="nil"/>
              <w:bottom w:val="single" w:sz="4" w:space="0" w:color="auto"/>
              <w:right w:val="nil"/>
            </w:tcBorders>
            <w:shd w:val="clear" w:color="auto" w:fill="auto"/>
          </w:tcPr>
          <w:p w14:paraId="0136DE2E"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2015</w:t>
            </w:r>
          </w:p>
        </w:tc>
        <w:tc>
          <w:tcPr>
            <w:tcW w:w="2880" w:type="dxa"/>
            <w:tcBorders>
              <w:top w:val="nil"/>
              <w:left w:val="nil"/>
              <w:bottom w:val="single" w:sz="4" w:space="0" w:color="auto"/>
              <w:right w:val="nil"/>
            </w:tcBorders>
            <w:shd w:val="clear" w:color="auto" w:fill="auto"/>
          </w:tcPr>
          <w:p w14:paraId="30F649A7"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2012</w:t>
            </w:r>
          </w:p>
        </w:tc>
        <w:tc>
          <w:tcPr>
            <w:tcW w:w="2736" w:type="dxa"/>
            <w:tcBorders>
              <w:top w:val="nil"/>
              <w:left w:val="nil"/>
              <w:bottom w:val="single" w:sz="4" w:space="0" w:color="auto"/>
              <w:right w:val="nil"/>
            </w:tcBorders>
            <w:shd w:val="clear" w:color="auto" w:fill="auto"/>
          </w:tcPr>
          <w:p w14:paraId="73745552"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2018</w:t>
            </w:r>
          </w:p>
        </w:tc>
        <w:tc>
          <w:tcPr>
            <w:tcW w:w="2736" w:type="dxa"/>
            <w:tcBorders>
              <w:top w:val="nil"/>
              <w:left w:val="nil"/>
              <w:bottom w:val="single" w:sz="4" w:space="0" w:color="auto"/>
              <w:right w:val="nil"/>
            </w:tcBorders>
            <w:shd w:val="clear" w:color="auto" w:fill="auto"/>
          </w:tcPr>
          <w:p w14:paraId="50FA2555"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2014</w:t>
            </w:r>
          </w:p>
        </w:tc>
      </w:tr>
      <w:tr w:rsidR="00B44463" w:rsidRPr="00B44463" w14:paraId="3924F6A0" w14:textId="77777777" w:rsidTr="00812DD6">
        <w:trPr>
          <w:trHeight w:val="549"/>
        </w:trPr>
        <w:tc>
          <w:tcPr>
            <w:tcW w:w="1584" w:type="dxa"/>
            <w:tcBorders>
              <w:top w:val="single" w:sz="4" w:space="0" w:color="auto"/>
              <w:left w:val="nil"/>
              <w:bottom w:val="nil"/>
              <w:right w:val="nil"/>
            </w:tcBorders>
            <w:shd w:val="clear" w:color="auto" w:fill="auto"/>
            <w:hideMark/>
          </w:tcPr>
          <w:p w14:paraId="1FBD097F" w14:textId="77777777" w:rsidR="00B44463" w:rsidRPr="00B44463" w:rsidRDefault="00B44463" w:rsidP="00B44463">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Workplace</w:t>
            </w:r>
          </w:p>
        </w:tc>
        <w:tc>
          <w:tcPr>
            <w:tcW w:w="2880" w:type="dxa"/>
            <w:tcBorders>
              <w:top w:val="single" w:sz="4" w:space="0" w:color="auto"/>
              <w:left w:val="nil"/>
              <w:bottom w:val="nil"/>
              <w:right w:val="nil"/>
            </w:tcBorders>
            <w:shd w:val="clear" w:color="auto" w:fill="auto"/>
            <w:noWrap/>
            <w:hideMark/>
          </w:tcPr>
          <w:p w14:paraId="32221033"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44 organizations across Australia</w:t>
            </w:r>
          </w:p>
        </w:tc>
        <w:tc>
          <w:tcPr>
            <w:tcW w:w="2880" w:type="dxa"/>
            <w:tcBorders>
              <w:top w:val="single" w:sz="4" w:space="0" w:color="auto"/>
              <w:left w:val="nil"/>
              <w:bottom w:val="nil"/>
              <w:right w:val="nil"/>
            </w:tcBorders>
            <w:shd w:val="clear" w:color="auto" w:fill="auto"/>
            <w:hideMark/>
          </w:tcPr>
          <w:p w14:paraId="5FD43DCE"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Canadian Public Sector</w:t>
            </w:r>
          </w:p>
        </w:tc>
        <w:tc>
          <w:tcPr>
            <w:tcW w:w="2736" w:type="dxa"/>
            <w:tcBorders>
              <w:top w:val="single" w:sz="4" w:space="0" w:color="auto"/>
              <w:left w:val="nil"/>
              <w:bottom w:val="nil"/>
              <w:right w:val="nil"/>
            </w:tcBorders>
            <w:shd w:val="clear" w:color="auto" w:fill="auto"/>
            <w:hideMark/>
          </w:tcPr>
          <w:p w14:paraId="6C53FA66"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Ready-Made Garments (RMG) sector of Bangladesh</w:t>
            </w:r>
          </w:p>
        </w:tc>
        <w:tc>
          <w:tcPr>
            <w:tcW w:w="2736" w:type="dxa"/>
            <w:tcBorders>
              <w:top w:val="single" w:sz="4" w:space="0" w:color="auto"/>
              <w:left w:val="nil"/>
              <w:bottom w:val="nil"/>
              <w:right w:val="nil"/>
            </w:tcBorders>
            <w:shd w:val="clear" w:color="auto" w:fill="auto"/>
            <w:hideMark/>
          </w:tcPr>
          <w:p w14:paraId="6CBA10D7"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Makhado Municipality - Public government</w:t>
            </w:r>
            <w:r w:rsidR="00F8311C">
              <w:rPr>
                <w:rFonts w:ascii="Times New Roman" w:eastAsia="Times New Roman" w:hAnsi="Times New Roman" w:cs="Times New Roman"/>
                <w:color w:val="000000"/>
                <w:sz w:val="20"/>
                <w:lang w:val="en-US"/>
              </w:rPr>
              <w:t xml:space="preserve"> (South Africa)</w:t>
            </w:r>
          </w:p>
        </w:tc>
      </w:tr>
      <w:tr w:rsidR="00B44463" w:rsidRPr="00B44463" w14:paraId="6D81266A" w14:textId="77777777" w:rsidTr="00812DD6">
        <w:trPr>
          <w:trHeight w:val="297"/>
        </w:trPr>
        <w:tc>
          <w:tcPr>
            <w:tcW w:w="1584" w:type="dxa"/>
            <w:tcBorders>
              <w:top w:val="nil"/>
              <w:left w:val="nil"/>
              <w:bottom w:val="nil"/>
              <w:right w:val="nil"/>
            </w:tcBorders>
            <w:shd w:val="clear" w:color="auto" w:fill="auto"/>
            <w:hideMark/>
          </w:tcPr>
          <w:p w14:paraId="5A162EF7" w14:textId="77777777" w:rsidR="00B44463" w:rsidRPr="00B44463" w:rsidRDefault="00B44463" w:rsidP="00B44463">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Workforce Size</w:t>
            </w:r>
          </w:p>
        </w:tc>
        <w:tc>
          <w:tcPr>
            <w:tcW w:w="2880" w:type="dxa"/>
            <w:tcBorders>
              <w:top w:val="nil"/>
              <w:left w:val="nil"/>
              <w:bottom w:val="nil"/>
              <w:right w:val="nil"/>
            </w:tcBorders>
            <w:shd w:val="clear" w:color="auto" w:fill="auto"/>
            <w:noWrap/>
            <w:hideMark/>
          </w:tcPr>
          <w:p w14:paraId="2014A794"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50500</w:t>
            </w:r>
          </w:p>
        </w:tc>
        <w:tc>
          <w:tcPr>
            <w:tcW w:w="2880" w:type="dxa"/>
            <w:tcBorders>
              <w:top w:val="nil"/>
              <w:left w:val="nil"/>
              <w:bottom w:val="nil"/>
              <w:right w:val="nil"/>
            </w:tcBorders>
            <w:shd w:val="clear" w:color="auto" w:fill="auto"/>
            <w:hideMark/>
          </w:tcPr>
          <w:p w14:paraId="536D972E"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11 487 (2006) to 12949 (2010</w:t>
            </w:r>
            <w:r w:rsidR="004033FE">
              <w:rPr>
                <w:rFonts w:ascii="Times New Roman" w:eastAsia="Times New Roman" w:hAnsi="Times New Roman" w:cs="Times New Roman"/>
                <w:color w:val="000000"/>
                <w:sz w:val="20"/>
                <w:lang w:val="en-US"/>
              </w:rPr>
              <w:t xml:space="preserve">) </w:t>
            </w:r>
          </w:p>
        </w:tc>
        <w:tc>
          <w:tcPr>
            <w:tcW w:w="2736" w:type="dxa"/>
            <w:tcBorders>
              <w:top w:val="nil"/>
              <w:left w:val="nil"/>
              <w:bottom w:val="nil"/>
              <w:right w:val="nil"/>
            </w:tcBorders>
            <w:shd w:val="clear" w:color="auto" w:fill="auto"/>
            <w:hideMark/>
          </w:tcPr>
          <w:p w14:paraId="2E4DA551"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2.8 million</w:t>
            </w:r>
          </w:p>
        </w:tc>
        <w:tc>
          <w:tcPr>
            <w:tcW w:w="2736" w:type="dxa"/>
            <w:tcBorders>
              <w:top w:val="nil"/>
              <w:left w:val="nil"/>
              <w:bottom w:val="nil"/>
              <w:right w:val="nil"/>
            </w:tcBorders>
            <w:shd w:val="clear" w:color="auto" w:fill="auto"/>
            <w:hideMark/>
          </w:tcPr>
          <w:p w14:paraId="73CBD396"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800</w:t>
            </w:r>
          </w:p>
        </w:tc>
      </w:tr>
      <w:tr w:rsidR="00B44463" w:rsidRPr="00B44463" w14:paraId="03D2998C" w14:textId="77777777" w:rsidTr="00812DD6">
        <w:trPr>
          <w:trHeight w:val="270"/>
        </w:trPr>
        <w:tc>
          <w:tcPr>
            <w:tcW w:w="1584" w:type="dxa"/>
            <w:tcBorders>
              <w:top w:val="nil"/>
              <w:left w:val="nil"/>
              <w:bottom w:val="nil"/>
              <w:right w:val="nil"/>
            </w:tcBorders>
            <w:shd w:val="clear" w:color="auto" w:fill="auto"/>
            <w:hideMark/>
          </w:tcPr>
          <w:p w14:paraId="0EAB9357" w14:textId="77777777" w:rsidR="00B44463" w:rsidRPr="00B44463" w:rsidRDefault="004033FE" w:rsidP="00B44463">
            <w:pPr>
              <w:spacing w:after="0" w:line="240" w:lineRule="auto"/>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EAP</w:t>
            </w:r>
            <w:r w:rsidR="00B44463" w:rsidRPr="00B44463">
              <w:rPr>
                <w:rFonts w:ascii="Times New Roman" w:eastAsia="Times New Roman" w:hAnsi="Times New Roman" w:cs="Times New Roman"/>
                <w:color w:val="000000"/>
                <w:sz w:val="20"/>
                <w:lang w:val="en-US"/>
              </w:rPr>
              <w:t xml:space="preserve"> Delivery</w:t>
            </w:r>
          </w:p>
        </w:tc>
        <w:tc>
          <w:tcPr>
            <w:tcW w:w="2880" w:type="dxa"/>
            <w:tcBorders>
              <w:top w:val="nil"/>
              <w:left w:val="nil"/>
              <w:bottom w:val="nil"/>
              <w:right w:val="nil"/>
            </w:tcBorders>
            <w:shd w:val="clear" w:color="auto" w:fill="auto"/>
            <w:noWrap/>
            <w:hideMark/>
          </w:tcPr>
          <w:p w14:paraId="67403A8F"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External</w:t>
            </w:r>
          </w:p>
        </w:tc>
        <w:tc>
          <w:tcPr>
            <w:tcW w:w="2880" w:type="dxa"/>
            <w:tcBorders>
              <w:top w:val="nil"/>
              <w:left w:val="nil"/>
              <w:bottom w:val="nil"/>
              <w:right w:val="nil"/>
            </w:tcBorders>
            <w:shd w:val="clear" w:color="auto" w:fill="auto"/>
            <w:hideMark/>
          </w:tcPr>
          <w:p w14:paraId="26136481" w14:textId="77777777" w:rsidR="00B44463" w:rsidRPr="00B44463" w:rsidRDefault="004033FE"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Internal/External</w:t>
            </w:r>
          </w:p>
        </w:tc>
        <w:tc>
          <w:tcPr>
            <w:tcW w:w="2736" w:type="dxa"/>
            <w:tcBorders>
              <w:top w:val="nil"/>
              <w:left w:val="nil"/>
              <w:bottom w:val="nil"/>
              <w:right w:val="nil"/>
            </w:tcBorders>
            <w:shd w:val="clear" w:color="auto" w:fill="auto"/>
            <w:hideMark/>
          </w:tcPr>
          <w:p w14:paraId="5103798F"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Internal</w:t>
            </w:r>
          </w:p>
        </w:tc>
        <w:tc>
          <w:tcPr>
            <w:tcW w:w="2736" w:type="dxa"/>
            <w:tcBorders>
              <w:top w:val="nil"/>
              <w:left w:val="nil"/>
              <w:bottom w:val="nil"/>
              <w:right w:val="nil"/>
            </w:tcBorders>
            <w:shd w:val="clear" w:color="auto" w:fill="auto"/>
            <w:hideMark/>
          </w:tcPr>
          <w:p w14:paraId="0D5B54D8"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Internal</w:t>
            </w:r>
          </w:p>
        </w:tc>
      </w:tr>
      <w:tr w:rsidR="00B44463" w:rsidRPr="00B44463" w14:paraId="77D93429" w14:textId="77777777" w:rsidTr="00812DD6">
        <w:trPr>
          <w:trHeight w:val="531"/>
        </w:trPr>
        <w:tc>
          <w:tcPr>
            <w:tcW w:w="1584" w:type="dxa"/>
            <w:tcBorders>
              <w:top w:val="nil"/>
              <w:left w:val="nil"/>
              <w:bottom w:val="nil"/>
              <w:right w:val="nil"/>
            </w:tcBorders>
            <w:shd w:val="clear" w:color="auto" w:fill="auto"/>
            <w:hideMark/>
          </w:tcPr>
          <w:p w14:paraId="41593061" w14:textId="77777777" w:rsidR="00B44463" w:rsidRPr="00B44463" w:rsidRDefault="00B44463" w:rsidP="00B44463">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Study Time Frame</w:t>
            </w:r>
          </w:p>
        </w:tc>
        <w:tc>
          <w:tcPr>
            <w:tcW w:w="2880" w:type="dxa"/>
            <w:tcBorders>
              <w:top w:val="nil"/>
              <w:left w:val="nil"/>
              <w:bottom w:val="nil"/>
              <w:right w:val="nil"/>
            </w:tcBorders>
            <w:shd w:val="clear" w:color="auto" w:fill="auto"/>
            <w:noWrap/>
            <w:hideMark/>
          </w:tcPr>
          <w:p w14:paraId="15A1CCA3"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Data from 2010, 2011, 2012</w:t>
            </w:r>
          </w:p>
        </w:tc>
        <w:tc>
          <w:tcPr>
            <w:tcW w:w="2880" w:type="dxa"/>
            <w:tcBorders>
              <w:top w:val="nil"/>
              <w:left w:val="nil"/>
              <w:bottom w:val="nil"/>
              <w:right w:val="nil"/>
            </w:tcBorders>
            <w:shd w:val="clear" w:color="auto" w:fill="auto"/>
            <w:hideMark/>
          </w:tcPr>
          <w:p w14:paraId="7B34430E"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2005-2006 to 2009-2010</w:t>
            </w:r>
          </w:p>
        </w:tc>
        <w:tc>
          <w:tcPr>
            <w:tcW w:w="2736" w:type="dxa"/>
            <w:tcBorders>
              <w:top w:val="nil"/>
              <w:left w:val="nil"/>
              <w:bottom w:val="nil"/>
              <w:right w:val="nil"/>
            </w:tcBorders>
            <w:shd w:val="clear" w:color="auto" w:fill="auto"/>
            <w:hideMark/>
          </w:tcPr>
          <w:p w14:paraId="1EFD78FB"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Cross-sectional - 1 month</w:t>
            </w:r>
          </w:p>
        </w:tc>
        <w:tc>
          <w:tcPr>
            <w:tcW w:w="2736" w:type="dxa"/>
            <w:tcBorders>
              <w:top w:val="nil"/>
              <w:left w:val="nil"/>
              <w:bottom w:val="nil"/>
              <w:right w:val="nil"/>
            </w:tcBorders>
            <w:shd w:val="clear" w:color="auto" w:fill="auto"/>
            <w:hideMark/>
          </w:tcPr>
          <w:p w14:paraId="7D1709A0"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Cross sectional survey - no timeline</w:t>
            </w:r>
          </w:p>
        </w:tc>
      </w:tr>
      <w:tr w:rsidR="00B44463" w:rsidRPr="00B44463" w14:paraId="3FF3CB66" w14:textId="77777777" w:rsidTr="00812DD6">
        <w:trPr>
          <w:trHeight w:val="2889"/>
        </w:trPr>
        <w:tc>
          <w:tcPr>
            <w:tcW w:w="1584" w:type="dxa"/>
            <w:tcBorders>
              <w:top w:val="nil"/>
              <w:left w:val="nil"/>
              <w:bottom w:val="nil"/>
              <w:right w:val="nil"/>
            </w:tcBorders>
            <w:shd w:val="clear" w:color="auto" w:fill="auto"/>
            <w:hideMark/>
          </w:tcPr>
          <w:p w14:paraId="62B2FE9B" w14:textId="77777777" w:rsidR="00B44463" w:rsidRPr="00B44463" w:rsidRDefault="00B44463" w:rsidP="00B44463">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Study's Purpose</w:t>
            </w:r>
          </w:p>
        </w:tc>
        <w:tc>
          <w:tcPr>
            <w:tcW w:w="2880" w:type="dxa"/>
            <w:tcBorders>
              <w:top w:val="nil"/>
              <w:left w:val="nil"/>
              <w:bottom w:val="nil"/>
              <w:right w:val="nil"/>
            </w:tcBorders>
            <w:shd w:val="clear" w:color="auto" w:fill="auto"/>
            <w:hideMark/>
          </w:tcPr>
          <w:p w14:paraId="07DE67F0" w14:textId="77777777" w:rsidR="00D75814" w:rsidRDefault="00D75814"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Determine useful</w:t>
            </w:r>
            <w:r w:rsidR="00B44463" w:rsidRPr="00B44463">
              <w:rPr>
                <w:rFonts w:ascii="Times New Roman" w:eastAsia="Times New Roman" w:hAnsi="Times New Roman" w:cs="Times New Roman"/>
                <w:color w:val="000000"/>
                <w:sz w:val="20"/>
                <w:lang w:val="en-US"/>
              </w:rPr>
              <w:t>ness of EAP counselling</w:t>
            </w:r>
            <w:r>
              <w:rPr>
                <w:rFonts w:ascii="Times New Roman" w:eastAsia="Times New Roman" w:hAnsi="Times New Roman" w:cs="Times New Roman"/>
                <w:color w:val="000000"/>
                <w:sz w:val="20"/>
                <w:lang w:val="en-US"/>
              </w:rPr>
              <w:t xml:space="preserve"> in Australian Organizations.</w:t>
            </w:r>
          </w:p>
          <w:p w14:paraId="7A461DAD" w14:textId="77777777" w:rsidR="00D75814" w:rsidRDefault="00D75814" w:rsidP="004033FE">
            <w:pPr>
              <w:spacing w:after="0" w:line="240" w:lineRule="auto"/>
              <w:ind w:left="144" w:hanging="144"/>
              <w:rPr>
                <w:rFonts w:ascii="Times New Roman" w:eastAsia="Times New Roman" w:hAnsi="Times New Roman" w:cs="Times New Roman"/>
                <w:color w:val="000000"/>
                <w:sz w:val="20"/>
                <w:lang w:val="en-US"/>
              </w:rPr>
            </w:pPr>
          </w:p>
          <w:p w14:paraId="6EED7E97" w14:textId="77777777" w:rsidR="00B44463" w:rsidRPr="00B44463" w:rsidRDefault="00D75814"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D</w:t>
            </w:r>
            <w:r w:rsidR="00B44463" w:rsidRPr="00B44463">
              <w:rPr>
                <w:rFonts w:ascii="Times New Roman" w:eastAsia="Times New Roman" w:hAnsi="Times New Roman" w:cs="Times New Roman"/>
                <w:color w:val="000000"/>
                <w:sz w:val="20"/>
                <w:lang w:val="en-US"/>
              </w:rPr>
              <w:t xml:space="preserve">etermine the </w:t>
            </w:r>
            <w:r>
              <w:rPr>
                <w:rFonts w:ascii="Times New Roman" w:eastAsia="Times New Roman" w:hAnsi="Times New Roman" w:cs="Times New Roman"/>
                <w:color w:val="000000"/>
                <w:sz w:val="20"/>
                <w:lang w:val="en-US"/>
              </w:rPr>
              <w:t xml:space="preserve">extent and appropriateness </w:t>
            </w:r>
            <w:r w:rsidR="00B44463" w:rsidRPr="00B44463">
              <w:rPr>
                <w:rFonts w:ascii="Times New Roman" w:eastAsia="Times New Roman" w:hAnsi="Times New Roman" w:cs="Times New Roman"/>
                <w:color w:val="000000"/>
                <w:sz w:val="20"/>
                <w:lang w:val="en-US"/>
              </w:rPr>
              <w:t>of evaluation of EAP counseling</w:t>
            </w:r>
            <w:r>
              <w:rPr>
                <w:rFonts w:ascii="Times New Roman" w:eastAsia="Times New Roman" w:hAnsi="Times New Roman" w:cs="Times New Roman"/>
                <w:color w:val="000000"/>
                <w:sz w:val="20"/>
                <w:lang w:val="en-US"/>
              </w:rPr>
              <w:t>.</w:t>
            </w:r>
          </w:p>
        </w:tc>
        <w:tc>
          <w:tcPr>
            <w:tcW w:w="2880" w:type="dxa"/>
            <w:tcBorders>
              <w:top w:val="nil"/>
              <w:left w:val="nil"/>
              <w:bottom w:val="nil"/>
              <w:right w:val="nil"/>
            </w:tcBorders>
            <w:shd w:val="clear" w:color="auto" w:fill="auto"/>
            <w:hideMark/>
          </w:tcPr>
          <w:p w14:paraId="281E53BA" w14:textId="77777777" w:rsidR="004033FE" w:rsidRDefault="004033FE"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Evaluate if EAP</w:t>
            </w:r>
            <w:r w:rsidR="00B44463" w:rsidRPr="00B44463">
              <w:rPr>
                <w:rFonts w:ascii="Times New Roman" w:eastAsia="Times New Roman" w:hAnsi="Times New Roman" w:cs="Times New Roman"/>
                <w:color w:val="000000"/>
                <w:sz w:val="20"/>
                <w:lang w:val="en-US"/>
              </w:rPr>
              <w:t xml:space="preserve"> was meeting the current employee an</w:t>
            </w:r>
            <w:r>
              <w:rPr>
                <w:rFonts w:ascii="Times New Roman" w:eastAsia="Times New Roman" w:hAnsi="Times New Roman" w:cs="Times New Roman"/>
                <w:color w:val="000000"/>
                <w:sz w:val="20"/>
                <w:lang w:val="en-US"/>
              </w:rPr>
              <w:t>d employer requirements and able to</w:t>
            </w:r>
            <w:r w:rsidR="00B44463" w:rsidRPr="00B44463">
              <w:rPr>
                <w:rFonts w:ascii="Times New Roman" w:eastAsia="Times New Roman" w:hAnsi="Times New Roman" w:cs="Times New Roman"/>
                <w:color w:val="000000"/>
                <w:sz w:val="20"/>
                <w:lang w:val="en-US"/>
              </w:rPr>
              <w:t xml:space="preserve"> continue to meet future needs of workplace. </w:t>
            </w:r>
          </w:p>
          <w:p w14:paraId="2E7EDD90" w14:textId="77777777" w:rsidR="004033FE" w:rsidRDefault="004033FE" w:rsidP="004033FE">
            <w:pPr>
              <w:spacing w:after="0" w:line="240" w:lineRule="auto"/>
              <w:ind w:left="144" w:hanging="144"/>
              <w:rPr>
                <w:rFonts w:ascii="Times New Roman" w:eastAsia="Times New Roman" w:hAnsi="Times New Roman" w:cs="Times New Roman"/>
                <w:color w:val="000000"/>
                <w:sz w:val="20"/>
                <w:lang w:val="en-US"/>
              </w:rPr>
            </w:pPr>
          </w:p>
          <w:p w14:paraId="5406B2BB" w14:textId="77777777" w:rsidR="00B44463" w:rsidRPr="00B44463" w:rsidRDefault="004033FE"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R</w:t>
            </w:r>
            <w:r w:rsidR="00B44463" w:rsidRPr="00B44463">
              <w:rPr>
                <w:rFonts w:ascii="Times New Roman" w:eastAsia="Times New Roman" w:hAnsi="Times New Roman" w:cs="Times New Roman"/>
                <w:color w:val="000000"/>
                <w:sz w:val="20"/>
                <w:lang w:val="en-US"/>
              </w:rPr>
              <w:t>eview EAP advisory committee governance model, EAP organization structure, and rep</w:t>
            </w:r>
            <w:r>
              <w:rPr>
                <w:rFonts w:ascii="Times New Roman" w:eastAsia="Times New Roman" w:hAnsi="Times New Roman" w:cs="Times New Roman"/>
                <w:color w:val="000000"/>
                <w:sz w:val="20"/>
                <w:lang w:val="en-US"/>
              </w:rPr>
              <w:t>orting relationships, and make</w:t>
            </w:r>
            <w:r w:rsidR="00B44463" w:rsidRPr="00B44463">
              <w:rPr>
                <w:rFonts w:ascii="Times New Roman" w:eastAsia="Times New Roman" w:hAnsi="Times New Roman" w:cs="Times New Roman"/>
                <w:color w:val="000000"/>
                <w:sz w:val="20"/>
                <w:lang w:val="en-US"/>
              </w:rPr>
              <w:t xml:space="preserve"> recommendations for </w:t>
            </w:r>
            <w:r>
              <w:rPr>
                <w:rFonts w:ascii="Times New Roman" w:eastAsia="Times New Roman" w:hAnsi="Times New Roman" w:cs="Times New Roman"/>
                <w:color w:val="000000"/>
                <w:sz w:val="20"/>
                <w:lang w:val="en-US"/>
              </w:rPr>
              <w:t>improvement.</w:t>
            </w:r>
            <w:r w:rsidR="00B44463" w:rsidRPr="00B44463">
              <w:rPr>
                <w:rFonts w:ascii="Times New Roman" w:eastAsia="Times New Roman" w:hAnsi="Times New Roman" w:cs="Times New Roman"/>
                <w:color w:val="000000"/>
                <w:sz w:val="20"/>
                <w:lang w:val="en-US"/>
              </w:rPr>
              <w:t xml:space="preserve"> </w:t>
            </w:r>
          </w:p>
        </w:tc>
        <w:tc>
          <w:tcPr>
            <w:tcW w:w="2736" w:type="dxa"/>
            <w:tcBorders>
              <w:top w:val="nil"/>
              <w:left w:val="nil"/>
              <w:bottom w:val="nil"/>
              <w:right w:val="nil"/>
            </w:tcBorders>
            <w:shd w:val="clear" w:color="auto" w:fill="auto"/>
            <w:hideMark/>
          </w:tcPr>
          <w:p w14:paraId="20038C79"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Examine the overall performance of EAP in the RMG sector of Bangladesh</w:t>
            </w:r>
            <w:r w:rsidR="00D75814">
              <w:rPr>
                <w:rFonts w:ascii="Times New Roman" w:eastAsia="Times New Roman" w:hAnsi="Times New Roman" w:cs="Times New Roman"/>
                <w:color w:val="000000"/>
                <w:sz w:val="20"/>
                <w:lang w:val="en-US"/>
              </w:rPr>
              <w:t>.</w:t>
            </w:r>
          </w:p>
        </w:tc>
        <w:tc>
          <w:tcPr>
            <w:tcW w:w="2736" w:type="dxa"/>
            <w:tcBorders>
              <w:top w:val="nil"/>
              <w:left w:val="nil"/>
              <w:bottom w:val="nil"/>
              <w:right w:val="nil"/>
            </w:tcBorders>
            <w:shd w:val="clear" w:color="auto" w:fill="auto"/>
            <w:hideMark/>
          </w:tcPr>
          <w:p w14:paraId="4330BDF2" w14:textId="77777777" w:rsidR="00B44463" w:rsidRPr="00B44463" w:rsidRDefault="00D75814"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A</w:t>
            </w:r>
            <w:r w:rsidR="00B44463" w:rsidRPr="00B44463">
              <w:rPr>
                <w:rFonts w:ascii="Times New Roman" w:eastAsia="Times New Roman" w:hAnsi="Times New Roman" w:cs="Times New Roman"/>
                <w:color w:val="000000"/>
                <w:sz w:val="20"/>
                <w:lang w:val="en-US"/>
              </w:rPr>
              <w:t>ssess the effectiveness, and</w:t>
            </w:r>
            <w:r>
              <w:rPr>
                <w:rFonts w:ascii="Times New Roman" w:eastAsia="Times New Roman" w:hAnsi="Times New Roman" w:cs="Times New Roman"/>
                <w:color w:val="000000"/>
                <w:sz w:val="20"/>
                <w:lang w:val="en-US"/>
              </w:rPr>
              <w:t xml:space="preserve"> challenges associated with EAP program </w:t>
            </w:r>
            <w:r w:rsidR="00B44463" w:rsidRPr="00B44463">
              <w:rPr>
                <w:rFonts w:ascii="Times New Roman" w:eastAsia="Times New Roman" w:hAnsi="Times New Roman" w:cs="Times New Roman"/>
                <w:color w:val="000000"/>
                <w:sz w:val="20"/>
                <w:lang w:val="en-US"/>
              </w:rPr>
              <w:t>im</w:t>
            </w:r>
            <w:r>
              <w:rPr>
                <w:rFonts w:ascii="Times New Roman" w:eastAsia="Times New Roman" w:hAnsi="Times New Roman" w:cs="Times New Roman"/>
                <w:color w:val="000000"/>
                <w:sz w:val="20"/>
                <w:lang w:val="en-US"/>
              </w:rPr>
              <w:t xml:space="preserve">plementation </w:t>
            </w:r>
            <w:r w:rsidR="00B44463" w:rsidRPr="00B44463">
              <w:rPr>
                <w:rFonts w:ascii="Times New Roman" w:eastAsia="Times New Roman" w:hAnsi="Times New Roman" w:cs="Times New Roman"/>
                <w:color w:val="000000"/>
                <w:sz w:val="20"/>
                <w:lang w:val="en-US"/>
              </w:rPr>
              <w:t>from the point of view of employees.</w:t>
            </w:r>
          </w:p>
        </w:tc>
      </w:tr>
      <w:tr w:rsidR="00B44463" w:rsidRPr="00B44463" w14:paraId="48E45988" w14:textId="77777777" w:rsidTr="00812DD6">
        <w:trPr>
          <w:trHeight w:val="2100"/>
        </w:trPr>
        <w:tc>
          <w:tcPr>
            <w:tcW w:w="1584" w:type="dxa"/>
            <w:tcBorders>
              <w:top w:val="nil"/>
              <w:left w:val="nil"/>
              <w:right w:val="nil"/>
            </w:tcBorders>
            <w:shd w:val="clear" w:color="auto" w:fill="auto"/>
            <w:hideMark/>
          </w:tcPr>
          <w:p w14:paraId="06CEE3C5" w14:textId="77777777" w:rsidR="00B44463" w:rsidRPr="00B44463" w:rsidRDefault="00B44463" w:rsidP="00B44463">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Methodology</w:t>
            </w:r>
          </w:p>
        </w:tc>
        <w:tc>
          <w:tcPr>
            <w:tcW w:w="2880" w:type="dxa"/>
            <w:tcBorders>
              <w:top w:val="nil"/>
              <w:left w:val="nil"/>
              <w:right w:val="nil"/>
            </w:tcBorders>
            <w:shd w:val="clear" w:color="auto" w:fill="auto"/>
            <w:hideMark/>
          </w:tcPr>
          <w:p w14:paraId="4A04BCA1" w14:textId="77777777" w:rsidR="00B44463" w:rsidRP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 xml:space="preserve">15-item questionnaire administered by phone with organization's HR representation or other </w:t>
            </w:r>
            <w:r w:rsidR="00D75814">
              <w:rPr>
                <w:rFonts w:ascii="Times New Roman" w:eastAsia="Times New Roman" w:hAnsi="Times New Roman" w:cs="Times New Roman"/>
                <w:color w:val="000000"/>
                <w:sz w:val="20"/>
                <w:lang w:val="en-US"/>
              </w:rPr>
              <w:t xml:space="preserve">manager in charge of </w:t>
            </w:r>
            <w:r w:rsidRPr="00B44463">
              <w:rPr>
                <w:rFonts w:ascii="Times New Roman" w:eastAsia="Times New Roman" w:hAnsi="Times New Roman" w:cs="Times New Roman"/>
                <w:color w:val="000000"/>
                <w:sz w:val="20"/>
                <w:lang w:val="en-US"/>
              </w:rPr>
              <w:t>EAP program</w:t>
            </w:r>
            <w:r w:rsidR="00D75814">
              <w:rPr>
                <w:rFonts w:ascii="Times New Roman" w:eastAsia="Times New Roman" w:hAnsi="Times New Roman" w:cs="Times New Roman"/>
                <w:color w:val="000000"/>
                <w:sz w:val="20"/>
                <w:lang w:val="en-US"/>
              </w:rPr>
              <w:t xml:space="preserve"> operation.</w:t>
            </w:r>
          </w:p>
        </w:tc>
        <w:tc>
          <w:tcPr>
            <w:tcW w:w="2880" w:type="dxa"/>
            <w:tcBorders>
              <w:top w:val="nil"/>
              <w:left w:val="nil"/>
              <w:right w:val="nil"/>
            </w:tcBorders>
            <w:shd w:val="clear" w:color="auto" w:fill="auto"/>
            <w:hideMark/>
          </w:tcPr>
          <w:p w14:paraId="32C551F1" w14:textId="77777777" w:rsidR="00D75814"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Revie</w:t>
            </w:r>
            <w:r w:rsidR="00D75814">
              <w:rPr>
                <w:rFonts w:ascii="Times New Roman" w:eastAsia="Times New Roman" w:hAnsi="Times New Roman" w:cs="Times New Roman"/>
                <w:color w:val="000000"/>
                <w:sz w:val="20"/>
                <w:lang w:val="en-US"/>
              </w:rPr>
              <w:t>w of best practice literature and u</w:t>
            </w:r>
            <w:r w:rsidRPr="00B44463">
              <w:rPr>
                <w:rFonts w:ascii="Times New Roman" w:eastAsia="Times New Roman" w:hAnsi="Times New Roman" w:cs="Times New Roman"/>
                <w:color w:val="000000"/>
                <w:sz w:val="20"/>
                <w:lang w:val="en-US"/>
              </w:rPr>
              <w:t xml:space="preserve">tilization data. </w:t>
            </w:r>
          </w:p>
          <w:p w14:paraId="56E56224" w14:textId="77777777" w:rsidR="00D75814" w:rsidRDefault="00D75814" w:rsidP="004033FE">
            <w:pPr>
              <w:spacing w:after="0" w:line="240" w:lineRule="auto"/>
              <w:ind w:left="144" w:hanging="144"/>
              <w:rPr>
                <w:rFonts w:ascii="Times New Roman" w:eastAsia="Times New Roman" w:hAnsi="Times New Roman" w:cs="Times New Roman"/>
                <w:color w:val="000000"/>
                <w:sz w:val="20"/>
                <w:lang w:val="en-US"/>
              </w:rPr>
            </w:pPr>
          </w:p>
          <w:p w14:paraId="38F2E5E1" w14:textId="77777777" w:rsidR="00D75814"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Survey of employees and manage</w:t>
            </w:r>
            <w:r w:rsidR="00D75814">
              <w:rPr>
                <w:rFonts w:ascii="Times New Roman" w:eastAsia="Times New Roman" w:hAnsi="Times New Roman" w:cs="Times New Roman"/>
                <w:color w:val="000000"/>
                <w:sz w:val="20"/>
                <w:lang w:val="en-US"/>
              </w:rPr>
              <w:t>rs.</w:t>
            </w:r>
            <w:r w:rsidRPr="00B44463">
              <w:rPr>
                <w:rFonts w:ascii="Times New Roman" w:eastAsia="Times New Roman" w:hAnsi="Times New Roman" w:cs="Times New Roman"/>
                <w:color w:val="000000"/>
                <w:sz w:val="20"/>
                <w:lang w:val="en-US"/>
              </w:rPr>
              <w:t xml:space="preserve"> </w:t>
            </w:r>
          </w:p>
          <w:p w14:paraId="5969CAAB" w14:textId="77777777" w:rsidR="00D75814" w:rsidRDefault="00D75814" w:rsidP="004033FE">
            <w:pPr>
              <w:spacing w:after="0" w:line="240" w:lineRule="auto"/>
              <w:ind w:left="144" w:hanging="144"/>
              <w:rPr>
                <w:rFonts w:ascii="Times New Roman" w:eastAsia="Times New Roman" w:hAnsi="Times New Roman" w:cs="Times New Roman"/>
                <w:color w:val="000000"/>
                <w:sz w:val="20"/>
                <w:lang w:val="en-US"/>
              </w:rPr>
            </w:pPr>
          </w:p>
          <w:p w14:paraId="4A90EB78" w14:textId="77777777" w:rsidR="00B44463" w:rsidRPr="00B44463" w:rsidRDefault="00D75814"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I</w:t>
            </w:r>
            <w:r w:rsidR="00B44463" w:rsidRPr="00B44463">
              <w:rPr>
                <w:rFonts w:ascii="Times New Roman" w:eastAsia="Times New Roman" w:hAnsi="Times New Roman" w:cs="Times New Roman"/>
                <w:color w:val="000000"/>
                <w:sz w:val="20"/>
                <w:lang w:val="en-US"/>
              </w:rPr>
              <w:t>nterviews with program stakeholders, members of EAP Advisory Committee, EAP counselors, and employees who had used the program.</w:t>
            </w:r>
          </w:p>
        </w:tc>
        <w:tc>
          <w:tcPr>
            <w:tcW w:w="2736" w:type="dxa"/>
            <w:tcBorders>
              <w:top w:val="nil"/>
              <w:left w:val="nil"/>
              <w:right w:val="nil"/>
            </w:tcBorders>
            <w:shd w:val="clear" w:color="auto" w:fill="auto"/>
            <w:hideMark/>
          </w:tcPr>
          <w:p w14:paraId="34A64345" w14:textId="77777777" w:rsidR="00B44463" w:rsidRDefault="00B44463" w:rsidP="004033FE">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15-item ques</w:t>
            </w:r>
            <w:r w:rsidR="00D75814">
              <w:rPr>
                <w:rFonts w:ascii="Times New Roman" w:eastAsia="Times New Roman" w:hAnsi="Times New Roman" w:cs="Times New Roman"/>
                <w:color w:val="000000"/>
                <w:sz w:val="20"/>
                <w:lang w:val="en-US"/>
              </w:rPr>
              <w:t>tionnaire administered to a random sample of employee</w:t>
            </w:r>
            <w:r w:rsidRPr="00B44463">
              <w:rPr>
                <w:rFonts w:ascii="Times New Roman" w:eastAsia="Times New Roman" w:hAnsi="Times New Roman" w:cs="Times New Roman"/>
                <w:color w:val="000000"/>
                <w:sz w:val="20"/>
                <w:lang w:val="en-US"/>
              </w:rPr>
              <w:t>s who had received EAP services</w:t>
            </w:r>
            <w:r w:rsidR="00D75814">
              <w:rPr>
                <w:rFonts w:ascii="Times New Roman" w:eastAsia="Times New Roman" w:hAnsi="Times New Roman" w:cs="Times New Roman"/>
                <w:color w:val="000000"/>
                <w:sz w:val="20"/>
                <w:lang w:val="en-US"/>
              </w:rPr>
              <w:t xml:space="preserve">. </w:t>
            </w:r>
          </w:p>
          <w:p w14:paraId="696F7E63" w14:textId="77777777" w:rsidR="00D75814" w:rsidRDefault="00D75814" w:rsidP="004033FE">
            <w:pPr>
              <w:spacing w:after="0" w:line="240" w:lineRule="auto"/>
              <w:ind w:left="144" w:hanging="144"/>
              <w:rPr>
                <w:rFonts w:ascii="Times New Roman" w:eastAsia="Times New Roman" w:hAnsi="Times New Roman" w:cs="Times New Roman"/>
                <w:color w:val="000000"/>
                <w:sz w:val="20"/>
                <w:lang w:val="en-US"/>
              </w:rPr>
            </w:pPr>
          </w:p>
          <w:p w14:paraId="75509160" w14:textId="77777777" w:rsidR="00D75814" w:rsidRPr="00B44463" w:rsidRDefault="00D75814"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n=100</w:t>
            </w:r>
          </w:p>
        </w:tc>
        <w:tc>
          <w:tcPr>
            <w:tcW w:w="2736" w:type="dxa"/>
            <w:tcBorders>
              <w:top w:val="nil"/>
              <w:left w:val="nil"/>
              <w:right w:val="nil"/>
            </w:tcBorders>
            <w:shd w:val="clear" w:color="auto" w:fill="auto"/>
            <w:hideMark/>
          </w:tcPr>
          <w:p w14:paraId="2EE601EB" w14:textId="7C10A09F" w:rsidR="00B44463" w:rsidRPr="00B44463" w:rsidRDefault="00D75814" w:rsidP="004033FE">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C</w:t>
            </w:r>
            <w:r w:rsidR="00B44463" w:rsidRPr="00B44463">
              <w:rPr>
                <w:rFonts w:ascii="Times New Roman" w:eastAsia="Times New Roman" w:hAnsi="Times New Roman" w:cs="Times New Roman"/>
                <w:color w:val="000000"/>
                <w:sz w:val="20"/>
                <w:lang w:val="en-US"/>
              </w:rPr>
              <w:t>ross -sectional survey with semi structured interviews</w:t>
            </w:r>
            <w:r w:rsidR="000D1DB5">
              <w:rPr>
                <w:rFonts w:ascii="Times New Roman" w:eastAsia="Times New Roman" w:hAnsi="Times New Roman" w:cs="Times New Roman"/>
                <w:color w:val="000000"/>
                <w:sz w:val="20"/>
                <w:lang w:val="en-US"/>
              </w:rPr>
              <w:t>.</w:t>
            </w:r>
          </w:p>
        </w:tc>
      </w:tr>
      <w:tr w:rsidR="00B44463" w:rsidRPr="004033FE" w14:paraId="7EA8D117" w14:textId="77777777" w:rsidTr="00812DD6">
        <w:trPr>
          <w:trHeight w:val="300"/>
        </w:trPr>
        <w:tc>
          <w:tcPr>
            <w:tcW w:w="1584" w:type="dxa"/>
            <w:tcBorders>
              <w:top w:val="nil"/>
              <w:left w:val="nil"/>
              <w:bottom w:val="single" w:sz="4" w:space="0" w:color="auto"/>
              <w:right w:val="nil"/>
            </w:tcBorders>
            <w:shd w:val="clear" w:color="auto" w:fill="auto"/>
            <w:hideMark/>
          </w:tcPr>
          <w:p w14:paraId="7B4B82FB" w14:textId="77777777" w:rsidR="00B44463" w:rsidRPr="00B44463" w:rsidRDefault="007C1A96" w:rsidP="004033FE">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Total Methods U</w:t>
            </w:r>
            <w:r w:rsidR="00B44463" w:rsidRPr="00B44463">
              <w:rPr>
                <w:rFonts w:ascii="Times New Roman" w:eastAsia="Times New Roman" w:hAnsi="Times New Roman" w:cs="Times New Roman"/>
                <w:color w:val="000000"/>
                <w:sz w:val="20"/>
                <w:szCs w:val="20"/>
                <w:lang w:val="en-US"/>
              </w:rPr>
              <w:t>sed</w:t>
            </w:r>
          </w:p>
        </w:tc>
        <w:tc>
          <w:tcPr>
            <w:tcW w:w="2880" w:type="dxa"/>
            <w:tcBorders>
              <w:top w:val="nil"/>
              <w:left w:val="nil"/>
              <w:bottom w:val="single" w:sz="4" w:space="0" w:color="auto"/>
              <w:right w:val="nil"/>
            </w:tcBorders>
            <w:shd w:val="clear" w:color="auto" w:fill="auto"/>
            <w:noWrap/>
            <w:hideMark/>
          </w:tcPr>
          <w:p w14:paraId="1AECC974" w14:textId="77777777" w:rsidR="00B44463" w:rsidRPr="00B44463" w:rsidRDefault="00B44463" w:rsidP="00037ACD">
            <w:pPr>
              <w:spacing w:after="0" w:line="240" w:lineRule="auto"/>
              <w:ind w:left="144" w:hanging="144"/>
              <w:jc w:val="center"/>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1</w:t>
            </w:r>
          </w:p>
        </w:tc>
        <w:tc>
          <w:tcPr>
            <w:tcW w:w="2880" w:type="dxa"/>
            <w:tcBorders>
              <w:top w:val="nil"/>
              <w:left w:val="nil"/>
              <w:bottom w:val="single" w:sz="4" w:space="0" w:color="auto"/>
              <w:right w:val="nil"/>
            </w:tcBorders>
            <w:shd w:val="clear" w:color="auto" w:fill="auto"/>
            <w:noWrap/>
            <w:hideMark/>
          </w:tcPr>
          <w:p w14:paraId="08F91AC5" w14:textId="77777777" w:rsidR="00B44463" w:rsidRPr="00B44463" w:rsidRDefault="00B44463" w:rsidP="00037ACD">
            <w:pPr>
              <w:spacing w:after="0" w:line="240" w:lineRule="auto"/>
              <w:ind w:left="144" w:hanging="144"/>
              <w:jc w:val="center"/>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4</w:t>
            </w:r>
          </w:p>
        </w:tc>
        <w:tc>
          <w:tcPr>
            <w:tcW w:w="2736" w:type="dxa"/>
            <w:tcBorders>
              <w:top w:val="nil"/>
              <w:left w:val="nil"/>
              <w:bottom w:val="single" w:sz="4" w:space="0" w:color="auto"/>
              <w:right w:val="nil"/>
            </w:tcBorders>
            <w:shd w:val="clear" w:color="auto" w:fill="auto"/>
            <w:noWrap/>
            <w:hideMark/>
          </w:tcPr>
          <w:p w14:paraId="5784B0CF" w14:textId="77777777" w:rsidR="00B44463" w:rsidRPr="00B44463" w:rsidRDefault="00B44463" w:rsidP="00037ACD">
            <w:pPr>
              <w:spacing w:after="0" w:line="240" w:lineRule="auto"/>
              <w:ind w:left="144" w:hanging="144"/>
              <w:jc w:val="center"/>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1</w:t>
            </w:r>
          </w:p>
        </w:tc>
        <w:tc>
          <w:tcPr>
            <w:tcW w:w="2736" w:type="dxa"/>
            <w:tcBorders>
              <w:top w:val="nil"/>
              <w:left w:val="nil"/>
              <w:bottom w:val="single" w:sz="4" w:space="0" w:color="auto"/>
              <w:right w:val="nil"/>
            </w:tcBorders>
            <w:shd w:val="clear" w:color="auto" w:fill="auto"/>
            <w:noWrap/>
            <w:hideMark/>
          </w:tcPr>
          <w:p w14:paraId="187FECB6" w14:textId="77777777" w:rsidR="00B44463" w:rsidRPr="00B44463" w:rsidRDefault="00B44463" w:rsidP="00037ACD">
            <w:pPr>
              <w:spacing w:after="0" w:line="240" w:lineRule="auto"/>
              <w:ind w:left="144" w:hanging="144"/>
              <w:jc w:val="center"/>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2</w:t>
            </w:r>
          </w:p>
        </w:tc>
      </w:tr>
    </w:tbl>
    <w:p w14:paraId="2D6A4A6E" w14:textId="77777777" w:rsidR="007C6BB0" w:rsidRPr="007C6BB0" w:rsidRDefault="007C6BB0">
      <w:pPr>
        <w:rPr>
          <w:rFonts w:ascii="Times New Roman" w:hAnsi="Times New Roman" w:cs="Times New Roman"/>
          <w:sz w:val="24"/>
        </w:rPr>
      </w:pPr>
      <w:r w:rsidRPr="007C6BB0">
        <w:rPr>
          <w:rFonts w:ascii="Times New Roman" w:hAnsi="Times New Roman" w:cs="Times New Roman"/>
          <w:sz w:val="24"/>
        </w:rPr>
        <w:lastRenderedPageBreak/>
        <w:t>Table 4</w:t>
      </w:r>
    </w:p>
    <w:p w14:paraId="61B6272A" w14:textId="77777777" w:rsidR="007C6BB0" w:rsidRPr="007C6BB0" w:rsidRDefault="007C6BB0">
      <w:pPr>
        <w:rPr>
          <w:rFonts w:ascii="Times New Roman" w:hAnsi="Times New Roman" w:cs="Times New Roman"/>
          <w:i/>
          <w:sz w:val="24"/>
        </w:rPr>
      </w:pPr>
      <w:r w:rsidRPr="007C6BB0">
        <w:rPr>
          <w:rFonts w:ascii="Times New Roman" w:hAnsi="Times New Roman" w:cs="Times New Roman"/>
          <w:i/>
          <w:sz w:val="24"/>
        </w:rPr>
        <w:t xml:space="preserve">Process Evaluation Study Summaries Continued </w:t>
      </w:r>
    </w:p>
    <w:tbl>
      <w:tblPr>
        <w:tblW w:w="12816" w:type="dxa"/>
        <w:tblCellMar>
          <w:left w:w="115" w:type="dxa"/>
          <w:right w:w="115" w:type="dxa"/>
        </w:tblCellMar>
        <w:tblLook w:val="04A0" w:firstRow="1" w:lastRow="0" w:firstColumn="1" w:lastColumn="0" w:noHBand="0" w:noVBand="1"/>
      </w:tblPr>
      <w:tblGrid>
        <w:gridCol w:w="1584"/>
        <w:gridCol w:w="2880"/>
        <w:gridCol w:w="2880"/>
        <w:gridCol w:w="2736"/>
        <w:gridCol w:w="2736"/>
      </w:tblGrid>
      <w:tr w:rsidR="00D75814" w:rsidRPr="004033FE" w14:paraId="617768F9" w14:textId="77777777" w:rsidTr="00812DD6">
        <w:trPr>
          <w:trHeight w:val="288"/>
        </w:trPr>
        <w:tc>
          <w:tcPr>
            <w:tcW w:w="1584" w:type="dxa"/>
            <w:tcBorders>
              <w:top w:val="single" w:sz="4" w:space="0" w:color="auto"/>
              <w:left w:val="nil"/>
              <w:bottom w:val="nil"/>
              <w:right w:val="nil"/>
            </w:tcBorders>
            <w:shd w:val="clear" w:color="auto" w:fill="auto"/>
            <w:vAlign w:val="bottom"/>
          </w:tcPr>
          <w:p w14:paraId="240961DB" w14:textId="77777777" w:rsidR="00D75814" w:rsidRPr="00B44463" w:rsidRDefault="00D75814" w:rsidP="00D75814">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Author</w:t>
            </w:r>
          </w:p>
        </w:tc>
        <w:tc>
          <w:tcPr>
            <w:tcW w:w="2880" w:type="dxa"/>
            <w:tcBorders>
              <w:top w:val="single" w:sz="4" w:space="0" w:color="auto"/>
              <w:left w:val="nil"/>
              <w:bottom w:val="nil"/>
              <w:right w:val="nil"/>
            </w:tcBorders>
            <w:shd w:val="clear" w:color="auto" w:fill="auto"/>
            <w:vAlign w:val="bottom"/>
          </w:tcPr>
          <w:p w14:paraId="16FBE21B" w14:textId="77777777" w:rsidR="00D75814" w:rsidRPr="00B44463" w:rsidRDefault="00D75814" w:rsidP="00D75814">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Compton &amp; McManus</w:t>
            </w:r>
          </w:p>
        </w:tc>
        <w:tc>
          <w:tcPr>
            <w:tcW w:w="2880" w:type="dxa"/>
            <w:tcBorders>
              <w:top w:val="single" w:sz="4" w:space="0" w:color="auto"/>
              <w:left w:val="nil"/>
              <w:bottom w:val="nil"/>
              <w:right w:val="nil"/>
            </w:tcBorders>
            <w:shd w:val="clear" w:color="auto" w:fill="auto"/>
            <w:vAlign w:val="bottom"/>
          </w:tcPr>
          <w:p w14:paraId="581DED97" w14:textId="77777777" w:rsidR="00D75814" w:rsidRPr="00B44463" w:rsidRDefault="00D75814" w:rsidP="00D75814">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Csiernik, Chaulk, &amp; MCQuaid</w:t>
            </w:r>
          </w:p>
        </w:tc>
        <w:tc>
          <w:tcPr>
            <w:tcW w:w="2736" w:type="dxa"/>
            <w:tcBorders>
              <w:top w:val="single" w:sz="4" w:space="0" w:color="auto"/>
              <w:left w:val="nil"/>
              <w:bottom w:val="nil"/>
              <w:right w:val="nil"/>
            </w:tcBorders>
            <w:shd w:val="clear" w:color="auto" w:fill="auto"/>
            <w:vAlign w:val="bottom"/>
          </w:tcPr>
          <w:p w14:paraId="0F309426" w14:textId="77777777" w:rsidR="00D75814" w:rsidRPr="00B44463" w:rsidRDefault="00D75814" w:rsidP="00D75814">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Huda</w:t>
            </w:r>
          </w:p>
        </w:tc>
        <w:tc>
          <w:tcPr>
            <w:tcW w:w="2736" w:type="dxa"/>
            <w:tcBorders>
              <w:top w:val="single" w:sz="4" w:space="0" w:color="auto"/>
              <w:left w:val="nil"/>
              <w:bottom w:val="nil"/>
              <w:right w:val="nil"/>
            </w:tcBorders>
            <w:shd w:val="clear" w:color="auto" w:fill="auto"/>
            <w:vAlign w:val="bottom"/>
          </w:tcPr>
          <w:p w14:paraId="55B0248F" w14:textId="77777777" w:rsidR="00D75814" w:rsidRPr="00B44463" w:rsidRDefault="00D75814" w:rsidP="00D75814">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Mugari, Mtapuri, &amp; Rangongo</w:t>
            </w:r>
          </w:p>
        </w:tc>
      </w:tr>
      <w:tr w:rsidR="00D75814" w:rsidRPr="004033FE" w14:paraId="71453A27" w14:textId="77777777" w:rsidTr="00812DD6">
        <w:trPr>
          <w:trHeight w:val="288"/>
        </w:trPr>
        <w:tc>
          <w:tcPr>
            <w:tcW w:w="1584" w:type="dxa"/>
            <w:tcBorders>
              <w:top w:val="nil"/>
              <w:left w:val="nil"/>
              <w:bottom w:val="single" w:sz="4" w:space="0" w:color="auto"/>
              <w:right w:val="nil"/>
            </w:tcBorders>
            <w:shd w:val="clear" w:color="auto" w:fill="auto"/>
          </w:tcPr>
          <w:p w14:paraId="3D030F4B" w14:textId="77777777" w:rsidR="00D75814" w:rsidRPr="00B44463" w:rsidRDefault="00D75814" w:rsidP="00D75814">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Year</w:t>
            </w:r>
          </w:p>
        </w:tc>
        <w:tc>
          <w:tcPr>
            <w:tcW w:w="2880" w:type="dxa"/>
            <w:tcBorders>
              <w:top w:val="nil"/>
              <w:left w:val="nil"/>
              <w:bottom w:val="single" w:sz="4" w:space="0" w:color="auto"/>
              <w:right w:val="nil"/>
            </w:tcBorders>
            <w:shd w:val="clear" w:color="auto" w:fill="auto"/>
          </w:tcPr>
          <w:p w14:paraId="396E8D3C" w14:textId="77777777" w:rsidR="00D75814" w:rsidRPr="00B44463" w:rsidRDefault="00D75814" w:rsidP="00D75814">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2015</w:t>
            </w:r>
          </w:p>
        </w:tc>
        <w:tc>
          <w:tcPr>
            <w:tcW w:w="2880" w:type="dxa"/>
            <w:tcBorders>
              <w:top w:val="nil"/>
              <w:left w:val="nil"/>
              <w:bottom w:val="single" w:sz="4" w:space="0" w:color="auto"/>
              <w:right w:val="nil"/>
            </w:tcBorders>
            <w:shd w:val="clear" w:color="auto" w:fill="auto"/>
          </w:tcPr>
          <w:p w14:paraId="612CFA3B" w14:textId="77777777" w:rsidR="00D75814" w:rsidRPr="00B44463" w:rsidRDefault="00D75814" w:rsidP="00D75814">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2012</w:t>
            </w:r>
          </w:p>
        </w:tc>
        <w:tc>
          <w:tcPr>
            <w:tcW w:w="2736" w:type="dxa"/>
            <w:tcBorders>
              <w:top w:val="nil"/>
              <w:left w:val="nil"/>
              <w:bottom w:val="single" w:sz="4" w:space="0" w:color="auto"/>
              <w:right w:val="nil"/>
            </w:tcBorders>
            <w:shd w:val="clear" w:color="auto" w:fill="auto"/>
          </w:tcPr>
          <w:p w14:paraId="1588958F" w14:textId="77777777" w:rsidR="00D75814" w:rsidRPr="00B44463" w:rsidRDefault="00D75814" w:rsidP="00D75814">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2018</w:t>
            </w:r>
          </w:p>
        </w:tc>
        <w:tc>
          <w:tcPr>
            <w:tcW w:w="2736" w:type="dxa"/>
            <w:tcBorders>
              <w:top w:val="nil"/>
              <w:left w:val="nil"/>
              <w:bottom w:val="single" w:sz="4" w:space="0" w:color="auto"/>
              <w:right w:val="nil"/>
            </w:tcBorders>
            <w:shd w:val="clear" w:color="auto" w:fill="auto"/>
          </w:tcPr>
          <w:p w14:paraId="33DE468C" w14:textId="77777777" w:rsidR="00D75814" w:rsidRPr="00B44463" w:rsidRDefault="00D75814" w:rsidP="00D75814">
            <w:pPr>
              <w:spacing w:after="0" w:line="240" w:lineRule="auto"/>
              <w:jc w:val="center"/>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2014</w:t>
            </w:r>
          </w:p>
        </w:tc>
      </w:tr>
      <w:tr w:rsidR="00D75814" w:rsidRPr="004033FE" w14:paraId="356C3161" w14:textId="77777777" w:rsidTr="00812DD6">
        <w:trPr>
          <w:trHeight w:val="6300"/>
        </w:trPr>
        <w:tc>
          <w:tcPr>
            <w:tcW w:w="1584" w:type="dxa"/>
            <w:tcBorders>
              <w:top w:val="single" w:sz="4" w:space="0" w:color="auto"/>
              <w:left w:val="nil"/>
              <w:bottom w:val="single" w:sz="4" w:space="0" w:color="auto"/>
              <w:right w:val="nil"/>
            </w:tcBorders>
            <w:shd w:val="clear" w:color="auto" w:fill="auto"/>
            <w:hideMark/>
          </w:tcPr>
          <w:p w14:paraId="07D4ED72" w14:textId="77777777" w:rsidR="00D75814" w:rsidRPr="00B44463"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Outcome</w:t>
            </w:r>
          </w:p>
        </w:tc>
        <w:tc>
          <w:tcPr>
            <w:tcW w:w="2880" w:type="dxa"/>
            <w:tcBorders>
              <w:top w:val="single" w:sz="4" w:space="0" w:color="auto"/>
              <w:left w:val="nil"/>
              <w:bottom w:val="single" w:sz="4" w:space="0" w:color="auto"/>
              <w:right w:val="nil"/>
            </w:tcBorders>
            <w:shd w:val="clear" w:color="auto" w:fill="auto"/>
            <w:hideMark/>
          </w:tcPr>
          <w:p w14:paraId="0EA5EAE2" w14:textId="77777777" w:rsidR="00D75814" w:rsidRDefault="007C6BB0" w:rsidP="00037ACD">
            <w:pPr>
              <w:spacing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Top rationales for</w:t>
            </w:r>
            <w:r w:rsidR="00D75814" w:rsidRPr="00B44463">
              <w:rPr>
                <w:rFonts w:ascii="Times New Roman" w:eastAsia="Times New Roman" w:hAnsi="Times New Roman" w:cs="Times New Roman"/>
                <w:color w:val="000000"/>
                <w:sz w:val="20"/>
                <w:szCs w:val="20"/>
                <w:lang w:val="en-US"/>
              </w:rPr>
              <w:t xml:space="preserve"> EAP are suppo</w:t>
            </w:r>
            <w:r w:rsidR="00D75814">
              <w:rPr>
                <w:rFonts w:ascii="Times New Roman" w:eastAsia="Times New Roman" w:hAnsi="Times New Roman" w:cs="Times New Roman"/>
                <w:color w:val="000000"/>
                <w:sz w:val="20"/>
                <w:szCs w:val="20"/>
                <w:lang w:val="en-US"/>
              </w:rPr>
              <w:t>rt for employee health and well-</w:t>
            </w:r>
            <w:r w:rsidR="00D75814" w:rsidRPr="00B44463">
              <w:rPr>
                <w:rFonts w:ascii="Times New Roman" w:eastAsia="Times New Roman" w:hAnsi="Times New Roman" w:cs="Times New Roman"/>
                <w:color w:val="000000"/>
                <w:sz w:val="20"/>
                <w:szCs w:val="20"/>
                <w:lang w:val="en-US"/>
              </w:rPr>
              <w:t xml:space="preserve">being (18%), implement best practice (15%), </w:t>
            </w:r>
            <w:r w:rsidR="00D75814">
              <w:rPr>
                <w:rFonts w:ascii="Times New Roman" w:eastAsia="Times New Roman" w:hAnsi="Times New Roman" w:cs="Times New Roman"/>
                <w:color w:val="000000"/>
                <w:sz w:val="20"/>
                <w:szCs w:val="20"/>
                <w:lang w:val="en-US"/>
              </w:rPr>
              <w:t xml:space="preserve">perceived duty of care (12%). </w:t>
            </w:r>
          </w:p>
          <w:p w14:paraId="0E30A9FC" w14:textId="77777777" w:rsidR="00D75814"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42% considered EAPs an important part of occupational health, safet</w:t>
            </w:r>
            <w:r>
              <w:rPr>
                <w:rFonts w:ascii="Times New Roman" w:eastAsia="Times New Roman" w:hAnsi="Times New Roman" w:cs="Times New Roman"/>
                <w:color w:val="000000"/>
                <w:sz w:val="20"/>
                <w:szCs w:val="20"/>
                <w:lang w:val="en-US"/>
              </w:rPr>
              <w:t>y, and wellness initiatives.</w:t>
            </w:r>
          </w:p>
          <w:p w14:paraId="7BF5DFC4" w14:textId="77777777" w:rsidR="00D75814" w:rsidRDefault="00D75814" w:rsidP="00037ACD">
            <w:pPr>
              <w:spacing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Only 23% reported </w:t>
            </w:r>
            <w:r w:rsidRPr="00B44463">
              <w:rPr>
                <w:rFonts w:ascii="Times New Roman" w:eastAsia="Times New Roman" w:hAnsi="Times New Roman" w:cs="Times New Roman"/>
                <w:color w:val="000000"/>
                <w:sz w:val="20"/>
                <w:szCs w:val="20"/>
                <w:lang w:val="en-US"/>
              </w:rPr>
              <w:t>operating in normal e</w:t>
            </w:r>
            <w:r>
              <w:rPr>
                <w:rFonts w:ascii="Times New Roman" w:eastAsia="Times New Roman" w:hAnsi="Times New Roman" w:cs="Times New Roman"/>
                <w:color w:val="000000"/>
                <w:sz w:val="20"/>
                <w:szCs w:val="20"/>
                <w:lang w:val="en-US"/>
              </w:rPr>
              <w:t>xpected rate for healthy EAP (4.1-</w:t>
            </w:r>
            <w:r w:rsidRPr="00B44463">
              <w:rPr>
                <w:rFonts w:ascii="Times New Roman" w:eastAsia="Times New Roman" w:hAnsi="Times New Roman" w:cs="Times New Roman"/>
                <w:color w:val="000000"/>
                <w:sz w:val="20"/>
                <w:szCs w:val="20"/>
                <w:lang w:val="en-US"/>
              </w:rPr>
              <w:t>8%</w:t>
            </w:r>
            <w:r>
              <w:rPr>
                <w:rFonts w:ascii="Times New Roman" w:eastAsia="Times New Roman" w:hAnsi="Times New Roman" w:cs="Times New Roman"/>
                <w:color w:val="000000"/>
                <w:sz w:val="20"/>
                <w:szCs w:val="20"/>
                <w:lang w:val="en-US"/>
              </w:rPr>
              <w:t xml:space="preserve">). </w:t>
            </w:r>
          </w:p>
          <w:p w14:paraId="22965D63" w14:textId="77777777" w:rsidR="007C6BB0"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51% had no relevant records for utiliz</w:t>
            </w:r>
            <w:r w:rsidR="007C6BB0">
              <w:rPr>
                <w:rFonts w:ascii="Times New Roman" w:eastAsia="Times New Roman" w:hAnsi="Times New Roman" w:cs="Times New Roman"/>
                <w:color w:val="000000"/>
                <w:sz w:val="20"/>
                <w:szCs w:val="20"/>
                <w:lang w:val="en-US"/>
              </w:rPr>
              <w:t xml:space="preserve">ation rates by employee type, </w:t>
            </w:r>
            <w:r w:rsidRPr="00B44463">
              <w:rPr>
                <w:rFonts w:ascii="Times New Roman" w:eastAsia="Times New Roman" w:hAnsi="Times New Roman" w:cs="Times New Roman"/>
                <w:color w:val="000000"/>
                <w:sz w:val="20"/>
                <w:szCs w:val="20"/>
                <w:lang w:val="en-US"/>
              </w:rPr>
              <w:t>52% had no record of age</w:t>
            </w:r>
            <w:r w:rsidR="007C6BB0">
              <w:rPr>
                <w:rFonts w:ascii="Times New Roman" w:eastAsia="Times New Roman" w:hAnsi="Times New Roman" w:cs="Times New Roman"/>
                <w:color w:val="000000"/>
                <w:sz w:val="20"/>
                <w:szCs w:val="20"/>
                <w:lang w:val="en-US"/>
              </w:rPr>
              <w:t xml:space="preserve"> range of usage of services.</w:t>
            </w:r>
          </w:p>
          <w:p w14:paraId="7D896A1D" w14:textId="77777777" w:rsidR="007C6BB0" w:rsidRDefault="007C6BB0" w:rsidP="00037ACD">
            <w:pPr>
              <w:spacing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w:t>
            </w:r>
            <w:r w:rsidR="00D75814" w:rsidRPr="00B44463">
              <w:rPr>
                <w:rFonts w:ascii="Times New Roman" w:eastAsia="Times New Roman" w:hAnsi="Times New Roman" w:cs="Times New Roman"/>
                <w:color w:val="000000"/>
                <w:sz w:val="20"/>
                <w:szCs w:val="20"/>
                <w:lang w:val="en-US"/>
              </w:rPr>
              <w:t>ost common reason for using EAP was personal rel</w:t>
            </w:r>
            <w:r>
              <w:rPr>
                <w:rFonts w:ascii="Times New Roman" w:eastAsia="Times New Roman" w:hAnsi="Times New Roman" w:cs="Times New Roman"/>
                <w:color w:val="000000"/>
                <w:sz w:val="20"/>
                <w:szCs w:val="20"/>
                <w:lang w:val="en-US"/>
              </w:rPr>
              <w:t xml:space="preserve">ationship or family problems. </w:t>
            </w:r>
          </w:p>
          <w:p w14:paraId="1BB8E1DC" w14:textId="77777777" w:rsidR="007C6BB0" w:rsidRDefault="007C6BB0" w:rsidP="00037ACD">
            <w:pPr>
              <w:spacing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EAP was most beneficial for</w:t>
            </w:r>
            <w:r w:rsidR="00D75814" w:rsidRPr="00B44463">
              <w:rPr>
                <w:rFonts w:ascii="Times New Roman" w:eastAsia="Times New Roman" w:hAnsi="Times New Roman" w:cs="Times New Roman"/>
                <w:color w:val="000000"/>
                <w:sz w:val="20"/>
                <w:szCs w:val="20"/>
                <w:lang w:val="en-US"/>
              </w:rPr>
              <w:t xml:space="preserve"> improved employee relations (20%), improved morale (13%), and less st</w:t>
            </w:r>
            <w:r>
              <w:rPr>
                <w:rFonts w:ascii="Times New Roman" w:eastAsia="Times New Roman" w:hAnsi="Times New Roman" w:cs="Times New Roman"/>
                <w:color w:val="000000"/>
                <w:sz w:val="20"/>
                <w:szCs w:val="20"/>
                <w:lang w:val="en-US"/>
              </w:rPr>
              <w:t xml:space="preserve">ress in the workplace </w:t>
            </w:r>
            <w:r w:rsidR="00D75814" w:rsidRPr="00B44463">
              <w:rPr>
                <w:rFonts w:ascii="Times New Roman" w:eastAsia="Times New Roman" w:hAnsi="Times New Roman" w:cs="Times New Roman"/>
                <w:color w:val="000000"/>
                <w:sz w:val="20"/>
                <w:szCs w:val="20"/>
                <w:lang w:val="en-US"/>
              </w:rPr>
              <w:t>(13%)</w:t>
            </w:r>
            <w:r>
              <w:rPr>
                <w:rFonts w:ascii="Times New Roman" w:eastAsia="Times New Roman" w:hAnsi="Times New Roman" w:cs="Times New Roman"/>
                <w:color w:val="000000"/>
                <w:sz w:val="20"/>
                <w:szCs w:val="20"/>
                <w:lang w:val="en-US"/>
              </w:rPr>
              <w:t>.</w:t>
            </w:r>
          </w:p>
          <w:p w14:paraId="1EBD6A33" w14:textId="77777777" w:rsidR="00D75814" w:rsidRPr="00B44463"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Perceived EAP effectiveness most commonly measured by employee feedback (31%), and surveys (22%)</w:t>
            </w:r>
            <w:r w:rsidR="007C6BB0">
              <w:rPr>
                <w:rFonts w:ascii="Times New Roman" w:eastAsia="Times New Roman" w:hAnsi="Times New Roman" w:cs="Times New Roman"/>
                <w:color w:val="000000"/>
                <w:sz w:val="20"/>
                <w:szCs w:val="20"/>
                <w:lang w:val="en-US"/>
              </w:rPr>
              <w:t>.</w:t>
            </w:r>
          </w:p>
        </w:tc>
        <w:tc>
          <w:tcPr>
            <w:tcW w:w="2880" w:type="dxa"/>
            <w:tcBorders>
              <w:top w:val="single" w:sz="4" w:space="0" w:color="auto"/>
              <w:left w:val="nil"/>
              <w:bottom w:val="single" w:sz="4" w:space="0" w:color="auto"/>
              <w:right w:val="nil"/>
            </w:tcBorders>
            <w:shd w:val="clear" w:color="auto" w:fill="auto"/>
            <w:hideMark/>
          </w:tcPr>
          <w:p w14:paraId="639FDF9F" w14:textId="77777777" w:rsidR="00037ACD"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 xml:space="preserve">86% of survey respondents aware of the EAP, 84% aware of the confidential counselling services offered. Only 41% were aware services were available for family members. </w:t>
            </w:r>
          </w:p>
          <w:p w14:paraId="0752C057" w14:textId="77777777" w:rsidR="00037ACD"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Respondents indicated that confidential counselling helped them (39%) or a family member (47%) with a problem in the last three years, half of whom indicated that this problem impacted their work.</w:t>
            </w:r>
          </w:p>
          <w:p w14:paraId="0CA97A76" w14:textId="77777777" w:rsidR="00037ACD"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Increased manager/supervisor training led to increased informal referrals, and a sub</w:t>
            </w:r>
            <w:r w:rsidR="00037ACD">
              <w:rPr>
                <w:rFonts w:ascii="Times New Roman" w:eastAsia="Times New Roman" w:hAnsi="Times New Roman" w:cs="Times New Roman"/>
                <w:color w:val="000000"/>
                <w:sz w:val="20"/>
                <w:szCs w:val="20"/>
                <w:lang w:val="en-US"/>
              </w:rPr>
              <w:t>sequent decrease in self-referr</w:t>
            </w:r>
            <w:r w:rsidR="00037ACD" w:rsidRPr="00B44463">
              <w:rPr>
                <w:rFonts w:ascii="Times New Roman" w:eastAsia="Times New Roman" w:hAnsi="Times New Roman" w:cs="Times New Roman"/>
                <w:color w:val="000000"/>
                <w:sz w:val="20"/>
                <w:szCs w:val="20"/>
                <w:lang w:val="en-US"/>
              </w:rPr>
              <w:t>als</w:t>
            </w:r>
            <w:r w:rsidRPr="00B44463">
              <w:rPr>
                <w:rFonts w:ascii="Times New Roman" w:eastAsia="Times New Roman" w:hAnsi="Times New Roman" w:cs="Times New Roman"/>
                <w:color w:val="000000"/>
                <w:sz w:val="20"/>
                <w:szCs w:val="20"/>
                <w:lang w:val="en-US"/>
              </w:rPr>
              <w:t xml:space="preserve">. </w:t>
            </w:r>
          </w:p>
          <w:p w14:paraId="5CCBC4D3" w14:textId="77777777" w:rsidR="00037ACD"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 xml:space="preserve">Lack of awareness about program among newer employees. </w:t>
            </w:r>
          </w:p>
          <w:p w14:paraId="104AC931" w14:textId="77777777" w:rsidR="00D75814" w:rsidRPr="00B44463" w:rsidRDefault="00D75814" w:rsidP="00037AC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Lack of time and resources for the provision of workplace education programming, as EAP counsellors must prioritize individual counselling. Identified need for increased resources to ensure training and support for managers.</w:t>
            </w:r>
          </w:p>
        </w:tc>
        <w:tc>
          <w:tcPr>
            <w:tcW w:w="2736" w:type="dxa"/>
            <w:tcBorders>
              <w:top w:val="single" w:sz="4" w:space="0" w:color="auto"/>
              <w:left w:val="nil"/>
              <w:bottom w:val="single" w:sz="4" w:space="0" w:color="auto"/>
              <w:right w:val="nil"/>
            </w:tcBorders>
            <w:shd w:val="clear" w:color="auto" w:fill="auto"/>
            <w:hideMark/>
          </w:tcPr>
          <w:p w14:paraId="20151DEA" w14:textId="77777777" w:rsidR="00037ACD" w:rsidRDefault="00037ACD" w:rsidP="00037ACD">
            <w:pPr>
              <w:spacing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O</w:t>
            </w:r>
            <w:r w:rsidR="00D75814" w:rsidRPr="00B44463">
              <w:rPr>
                <w:rFonts w:ascii="Times New Roman" w:eastAsia="Times New Roman" w:hAnsi="Times New Roman" w:cs="Times New Roman"/>
                <w:color w:val="000000"/>
                <w:sz w:val="20"/>
                <w:szCs w:val="20"/>
                <w:lang w:val="en-US"/>
              </w:rPr>
              <w:t>f 16 variables studied, 8 variables</w:t>
            </w:r>
            <w:r>
              <w:rPr>
                <w:rFonts w:ascii="Times New Roman" w:eastAsia="Times New Roman" w:hAnsi="Times New Roman" w:cs="Times New Roman"/>
                <w:color w:val="000000"/>
                <w:sz w:val="20"/>
                <w:szCs w:val="20"/>
                <w:lang w:val="en-US"/>
              </w:rPr>
              <w:t xml:space="preserve"> (s</w:t>
            </w:r>
            <w:r w:rsidRPr="00B44463">
              <w:rPr>
                <w:rFonts w:ascii="Times New Roman" w:eastAsia="Times New Roman" w:hAnsi="Times New Roman" w:cs="Times New Roman"/>
                <w:color w:val="000000"/>
                <w:sz w:val="20"/>
                <w:szCs w:val="20"/>
                <w:lang w:val="en-US"/>
              </w:rPr>
              <w:t>tress, conflict, hel</w:t>
            </w:r>
            <w:r>
              <w:rPr>
                <w:rFonts w:ascii="Times New Roman" w:eastAsia="Times New Roman" w:hAnsi="Times New Roman" w:cs="Times New Roman"/>
                <w:color w:val="000000"/>
                <w:sz w:val="20"/>
                <w:szCs w:val="20"/>
                <w:lang w:val="en-US"/>
              </w:rPr>
              <w:t>p</w:t>
            </w:r>
            <w:r w:rsidRPr="00B44463">
              <w:rPr>
                <w:rFonts w:ascii="Times New Roman" w:eastAsia="Times New Roman" w:hAnsi="Times New Roman" w:cs="Times New Roman"/>
                <w:color w:val="000000"/>
                <w:sz w:val="20"/>
                <w:szCs w:val="20"/>
                <w:lang w:val="en-US"/>
              </w:rPr>
              <w:t>fulness, behavior, seriousness</w:t>
            </w:r>
            <w:r>
              <w:rPr>
                <w:rFonts w:ascii="Times New Roman" w:eastAsia="Times New Roman" w:hAnsi="Times New Roman" w:cs="Times New Roman"/>
                <w:color w:val="000000"/>
                <w:sz w:val="20"/>
                <w:szCs w:val="20"/>
                <w:lang w:val="en-US"/>
              </w:rPr>
              <w:t xml:space="preserve">, suggestion, productivity, </w:t>
            </w:r>
            <w:r w:rsidRPr="00B44463">
              <w:rPr>
                <w:rFonts w:ascii="Times New Roman" w:eastAsia="Times New Roman" w:hAnsi="Times New Roman" w:cs="Times New Roman"/>
                <w:color w:val="000000"/>
                <w:sz w:val="20"/>
                <w:szCs w:val="20"/>
                <w:lang w:val="en-US"/>
              </w:rPr>
              <w:t>job satisfaction</w:t>
            </w:r>
            <w:r>
              <w:rPr>
                <w:rFonts w:ascii="Times New Roman" w:eastAsia="Times New Roman" w:hAnsi="Times New Roman" w:cs="Times New Roman"/>
                <w:color w:val="000000"/>
                <w:sz w:val="20"/>
                <w:szCs w:val="20"/>
                <w:lang w:val="en-US"/>
              </w:rPr>
              <w:t>)</w:t>
            </w:r>
            <w:r w:rsidR="00D75814" w:rsidRPr="00B44463">
              <w:rPr>
                <w:rFonts w:ascii="Times New Roman" w:eastAsia="Times New Roman" w:hAnsi="Times New Roman" w:cs="Times New Roman"/>
                <w:color w:val="000000"/>
                <w:sz w:val="20"/>
                <w:szCs w:val="20"/>
                <w:lang w:val="en-US"/>
              </w:rPr>
              <w:t xml:space="preserve"> were negatively associated with using EAP, </w:t>
            </w:r>
            <w:r w:rsidRPr="00B44463">
              <w:rPr>
                <w:rFonts w:ascii="Times New Roman" w:eastAsia="Times New Roman" w:hAnsi="Times New Roman" w:cs="Times New Roman"/>
                <w:color w:val="000000"/>
                <w:sz w:val="20"/>
                <w:szCs w:val="20"/>
                <w:lang w:val="en-US"/>
              </w:rPr>
              <w:t xml:space="preserve">though none reached statistical significance. </w:t>
            </w:r>
            <w:r w:rsidR="00D3120D">
              <w:rPr>
                <w:rFonts w:ascii="Times New Roman" w:eastAsia="Times New Roman" w:hAnsi="Times New Roman" w:cs="Times New Roman"/>
                <w:color w:val="000000"/>
                <w:sz w:val="20"/>
                <w:szCs w:val="20"/>
                <w:lang w:val="en-US"/>
              </w:rPr>
              <w:t xml:space="preserve">May indicate that </w:t>
            </w:r>
            <w:r>
              <w:rPr>
                <w:rFonts w:ascii="Times New Roman" w:eastAsia="Times New Roman" w:hAnsi="Times New Roman" w:cs="Times New Roman"/>
                <w:color w:val="000000"/>
                <w:sz w:val="20"/>
                <w:szCs w:val="20"/>
                <w:lang w:val="en-US"/>
              </w:rPr>
              <w:t xml:space="preserve">EAP </w:t>
            </w:r>
            <w:r w:rsidR="00D3120D">
              <w:rPr>
                <w:rFonts w:ascii="Times New Roman" w:eastAsia="Times New Roman" w:hAnsi="Times New Roman" w:cs="Times New Roman"/>
                <w:color w:val="000000"/>
                <w:sz w:val="20"/>
                <w:szCs w:val="20"/>
                <w:lang w:val="en-US"/>
              </w:rPr>
              <w:t xml:space="preserve">did </w:t>
            </w:r>
            <w:r w:rsidR="00D75814" w:rsidRPr="00B44463">
              <w:rPr>
                <w:rFonts w:ascii="Times New Roman" w:eastAsia="Times New Roman" w:hAnsi="Times New Roman" w:cs="Times New Roman"/>
                <w:color w:val="000000"/>
                <w:sz w:val="20"/>
                <w:szCs w:val="20"/>
                <w:lang w:val="en-US"/>
              </w:rPr>
              <w:t xml:space="preserve">not make a meaningful effect. </w:t>
            </w:r>
          </w:p>
          <w:p w14:paraId="65296DED" w14:textId="77777777" w:rsidR="00037ACD" w:rsidRDefault="00037ACD" w:rsidP="00037ACD">
            <w:pPr>
              <w:spacing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w:t>
            </w:r>
            <w:r w:rsidR="00D75814" w:rsidRPr="00B44463">
              <w:rPr>
                <w:rFonts w:ascii="Times New Roman" w:eastAsia="Times New Roman" w:hAnsi="Times New Roman" w:cs="Times New Roman"/>
                <w:color w:val="000000"/>
                <w:sz w:val="20"/>
                <w:szCs w:val="20"/>
                <w:lang w:val="en-US"/>
              </w:rPr>
              <w:t xml:space="preserve">onsiderate listening, priority realization, and reducing family problems had positive relationships, though these too did not meet statistical significance. </w:t>
            </w:r>
          </w:p>
          <w:p w14:paraId="016B07BA" w14:textId="77777777" w:rsidR="00D75814" w:rsidRDefault="00037ACD" w:rsidP="00037ACD">
            <w:pPr>
              <w:spacing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Q</w:t>
            </w:r>
            <w:r w:rsidR="00D75814" w:rsidRPr="00B44463">
              <w:rPr>
                <w:rFonts w:ascii="Times New Roman" w:eastAsia="Times New Roman" w:hAnsi="Times New Roman" w:cs="Times New Roman"/>
                <w:color w:val="000000"/>
                <w:sz w:val="20"/>
                <w:szCs w:val="20"/>
                <w:lang w:val="en-US"/>
              </w:rPr>
              <w:t>ualification and skill of the counselors had no contribution to the EAP program maximizing productivity and job satisfaction.</w:t>
            </w:r>
          </w:p>
          <w:p w14:paraId="021409E5" w14:textId="77777777" w:rsidR="00526100" w:rsidRPr="00B44463" w:rsidRDefault="00526100" w:rsidP="00037ACD">
            <w:pPr>
              <w:spacing w:line="240" w:lineRule="auto"/>
              <w:ind w:left="144" w:hanging="144"/>
              <w:rPr>
                <w:rFonts w:ascii="Times New Roman" w:eastAsia="Times New Roman" w:hAnsi="Times New Roman" w:cs="Times New Roman"/>
                <w:color w:val="000000"/>
                <w:sz w:val="20"/>
                <w:szCs w:val="20"/>
                <w:lang w:val="en-US"/>
              </w:rPr>
            </w:pPr>
          </w:p>
        </w:tc>
        <w:tc>
          <w:tcPr>
            <w:tcW w:w="2736" w:type="dxa"/>
            <w:tcBorders>
              <w:top w:val="single" w:sz="4" w:space="0" w:color="auto"/>
              <w:left w:val="nil"/>
              <w:bottom w:val="single" w:sz="4" w:space="0" w:color="auto"/>
              <w:right w:val="nil"/>
            </w:tcBorders>
            <w:shd w:val="clear" w:color="auto" w:fill="auto"/>
            <w:hideMark/>
          </w:tcPr>
          <w:p w14:paraId="55CC46D2" w14:textId="77777777" w:rsidR="00D3120D" w:rsidRDefault="00D75814" w:rsidP="00D3120D">
            <w:pPr>
              <w:spacing w:after="0"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 xml:space="preserve">81% knew of the EAP program. </w:t>
            </w:r>
          </w:p>
          <w:p w14:paraId="18C5C736" w14:textId="77777777" w:rsidR="00D3120D" w:rsidRDefault="00D75814" w:rsidP="00D3120D">
            <w:pPr>
              <w:spacing w:after="0"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 xml:space="preserve">83% spoke positively of </w:t>
            </w:r>
            <w:r w:rsidR="00D3120D">
              <w:rPr>
                <w:rFonts w:ascii="Times New Roman" w:eastAsia="Times New Roman" w:hAnsi="Times New Roman" w:cs="Times New Roman"/>
                <w:color w:val="000000"/>
                <w:sz w:val="20"/>
                <w:szCs w:val="20"/>
                <w:lang w:val="en-US"/>
              </w:rPr>
              <w:t xml:space="preserve">the EAP program. </w:t>
            </w:r>
          </w:p>
          <w:p w14:paraId="76781078" w14:textId="77777777" w:rsidR="00D3120D" w:rsidRDefault="00D75814" w:rsidP="00D3120D">
            <w:pPr>
              <w:spacing w:after="0"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 xml:space="preserve">76% felt the program was easily accessible. </w:t>
            </w:r>
          </w:p>
          <w:p w14:paraId="771CD216" w14:textId="77777777" w:rsidR="00D3120D" w:rsidRDefault="00D75814" w:rsidP="00D3120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 xml:space="preserve">17% of employees surveyed actually used EAP services. </w:t>
            </w:r>
          </w:p>
          <w:p w14:paraId="27B497FF" w14:textId="77777777" w:rsidR="00D3120D" w:rsidRDefault="00D75814" w:rsidP="00D3120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 xml:space="preserve">Supervisors felt that employees showed improvement following EAP services. </w:t>
            </w:r>
          </w:p>
          <w:p w14:paraId="5637CACE" w14:textId="77777777" w:rsidR="00D75814" w:rsidRPr="00B44463" w:rsidRDefault="00D75814" w:rsidP="00D3120D">
            <w:pPr>
              <w:spacing w:line="240" w:lineRule="auto"/>
              <w:ind w:left="144" w:hanging="144"/>
              <w:rPr>
                <w:rFonts w:ascii="Times New Roman" w:eastAsia="Times New Roman" w:hAnsi="Times New Roman" w:cs="Times New Roman"/>
                <w:color w:val="000000"/>
                <w:sz w:val="20"/>
                <w:szCs w:val="20"/>
                <w:lang w:val="en-US"/>
              </w:rPr>
            </w:pPr>
            <w:r w:rsidRPr="00B44463">
              <w:rPr>
                <w:rFonts w:ascii="Times New Roman" w:eastAsia="Times New Roman" w:hAnsi="Times New Roman" w:cs="Times New Roman"/>
                <w:color w:val="000000"/>
                <w:sz w:val="20"/>
                <w:szCs w:val="20"/>
                <w:lang w:val="en-US"/>
              </w:rPr>
              <w:t>Employees suggested that the availability of EAP needed to be made more regularly known in the workplace. Services only provided at one location, employees at other locations were not aware of the location of services.</w:t>
            </w:r>
          </w:p>
        </w:tc>
      </w:tr>
    </w:tbl>
    <w:p w14:paraId="12AF2956" w14:textId="77777777" w:rsidR="007163F4" w:rsidRPr="004D6835" w:rsidRDefault="00526100" w:rsidP="008654D6">
      <w:pPr>
        <w:rPr>
          <w:rFonts w:ascii="Times New Roman" w:hAnsi="Times New Roman" w:cs="Times New Roman"/>
          <w:sz w:val="24"/>
          <w:szCs w:val="20"/>
        </w:rPr>
      </w:pPr>
      <w:r w:rsidRPr="004D6835">
        <w:rPr>
          <w:rFonts w:ascii="Times New Roman" w:hAnsi="Times New Roman" w:cs="Times New Roman"/>
          <w:sz w:val="24"/>
          <w:szCs w:val="20"/>
        </w:rPr>
        <w:lastRenderedPageBreak/>
        <w:t xml:space="preserve">Table 4 </w:t>
      </w:r>
    </w:p>
    <w:p w14:paraId="64D18C93" w14:textId="77777777" w:rsidR="001C5609" w:rsidRPr="004D6835" w:rsidRDefault="00526100" w:rsidP="008654D6">
      <w:pPr>
        <w:rPr>
          <w:rFonts w:ascii="Times New Roman" w:hAnsi="Times New Roman" w:cs="Times New Roman"/>
          <w:i/>
          <w:sz w:val="24"/>
          <w:szCs w:val="20"/>
        </w:rPr>
      </w:pPr>
      <w:r w:rsidRPr="004D6835">
        <w:rPr>
          <w:rFonts w:ascii="Times New Roman" w:hAnsi="Times New Roman" w:cs="Times New Roman"/>
          <w:i/>
          <w:sz w:val="24"/>
          <w:szCs w:val="20"/>
        </w:rPr>
        <w:t xml:space="preserve">Process Evaluation Study Summaries Continued </w:t>
      </w:r>
    </w:p>
    <w:tbl>
      <w:tblPr>
        <w:tblW w:w="12672" w:type="dxa"/>
        <w:tblCellMar>
          <w:left w:w="115" w:type="dxa"/>
          <w:right w:w="115" w:type="dxa"/>
        </w:tblCellMar>
        <w:tblLook w:val="04A0" w:firstRow="1" w:lastRow="0" w:firstColumn="1" w:lastColumn="0" w:noHBand="0" w:noVBand="1"/>
      </w:tblPr>
      <w:tblGrid>
        <w:gridCol w:w="1440"/>
        <w:gridCol w:w="3744"/>
        <w:gridCol w:w="3744"/>
        <w:gridCol w:w="3744"/>
      </w:tblGrid>
      <w:tr w:rsidR="00526100" w:rsidRPr="00526100" w14:paraId="7B1A4C3D" w14:textId="77777777" w:rsidTr="004D6835">
        <w:trPr>
          <w:trHeight w:val="720"/>
        </w:trPr>
        <w:tc>
          <w:tcPr>
            <w:tcW w:w="1440" w:type="dxa"/>
            <w:tcBorders>
              <w:top w:val="single" w:sz="4" w:space="0" w:color="auto"/>
              <w:left w:val="nil"/>
              <w:right w:val="nil"/>
            </w:tcBorders>
            <w:vAlign w:val="bottom"/>
          </w:tcPr>
          <w:p w14:paraId="560AD66B" w14:textId="77777777" w:rsidR="00526100" w:rsidRPr="00B44463" w:rsidRDefault="00526100" w:rsidP="00526100">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Author</w:t>
            </w:r>
          </w:p>
        </w:tc>
        <w:tc>
          <w:tcPr>
            <w:tcW w:w="3744" w:type="dxa"/>
            <w:tcBorders>
              <w:top w:val="single" w:sz="4" w:space="0" w:color="auto"/>
              <w:left w:val="nil"/>
              <w:right w:val="nil"/>
            </w:tcBorders>
            <w:shd w:val="clear" w:color="auto" w:fill="auto"/>
            <w:vAlign w:val="bottom"/>
            <w:hideMark/>
          </w:tcPr>
          <w:p w14:paraId="78D099BD" w14:textId="77777777" w:rsidR="00526100" w:rsidRPr="00526100" w:rsidRDefault="00526100" w:rsidP="00526100">
            <w:pPr>
              <w:spacing w:after="0" w:line="240" w:lineRule="auto"/>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Pollack, </w:t>
            </w:r>
            <w:r>
              <w:rPr>
                <w:rFonts w:ascii="Times New Roman" w:eastAsia="Times New Roman" w:hAnsi="Times New Roman" w:cs="Times New Roman"/>
                <w:color w:val="000000"/>
                <w:sz w:val="20"/>
                <w:lang w:val="en-US"/>
              </w:rPr>
              <w:t>McKa</w:t>
            </w:r>
            <w:r w:rsidRPr="00526100">
              <w:rPr>
                <w:rFonts w:ascii="Times New Roman" w:eastAsia="Times New Roman" w:hAnsi="Times New Roman" w:cs="Times New Roman"/>
                <w:color w:val="000000"/>
                <w:sz w:val="20"/>
                <w:lang w:val="en-US"/>
              </w:rPr>
              <w:t>y, Cumminskey, Clinton-Sherrod, Lindquist, Lasater, Hardison</w:t>
            </w:r>
            <w:r>
              <w:rPr>
                <w:rFonts w:ascii="Times New Roman" w:eastAsia="Times New Roman" w:hAnsi="Times New Roman" w:cs="Times New Roman"/>
                <w:color w:val="000000"/>
                <w:sz w:val="20"/>
                <w:lang w:val="en-US"/>
              </w:rPr>
              <w:t xml:space="preserve"> Walters, Krotki, &amp; Grisso</w:t>
            </w:r>
          </w:p>
        </w:tc>
        <w:tc>
          <w:tcPr>
            <w:tcW w:w="3744" w:type="dxa"/>
            <w:tcBorders>
              <w:top w:val="single" w:sz="4" w:space="0" w:color="auto"/>
              <w:left w:val="nil"/>
              <w:right w:val="nil"/>
            </w:tcBorders>
            <w:shd w:val="clear" w:color="auto" w:fill="auto"/>
            <w:vAlign w:val="bottom"/>
            <w:hideMark/>
          </w:tcPr>
          <w:p w14:paraId="75A6E3D0" w14:textId="77777777" w:rsidR="00526100" w:rsidRPr="00526100" w:rsidRDefault="00526100" w:rsidP="00526100">
            <w:pPr>
              <w:spacing w:after="0" w:line="240" w:lineRule="auto"/>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S</w:t>
            </w:r>
            <w:r>
              <w:rPr>
                <w:rFonts w:ascii="Times New Roman" w:eastAsia="Times New Roman" w:hAnsi="Times New Roman" w:cs="Times New Roman"/>
                <w:color w:val="000000"/>
                <w:sz w:val="20"/>
                <w:lang w:val="en-US"/>
              </w:rPr>
              <w:t>ieberhagen, Pienaar, &amp; Els</w:t>
            </w:r>
          </w:p>
        </w:tc>
        <w:tc>
          <w:tcPr>
            <w:tcW w:w="3744" w:type="dxa"/>
            <w:tcBorders>
              <w:top w:val="single" w:sz="4" w:space="0" w:color="auto"/>
              <w:left w:val="nil"/>
              <w:right w:val="nil"/>
            </w:tcBorders>
            <w:shd w:val="clear" w:color="auto" w:fill="auto"/>
            <w:vAlign w:val="bottom"/>
            <w:hideMark/>
          </w:tcPr>
          <w:p w14:paraId="1E7EA205" w14:textId="77777777" w:rsidR="00526100" w:rsidRPr="00526100" w:rsidRDefault="00526100" w:rsidP="00526100">
            <w:pPr>
              <w:spacing w:after="0" w:line="240" w:lineRule="auto"/>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Trail, Martin, Burgette, Ma</w:t>
            </w:r>
            <w:r>
              <w:rPr>
                <w:rFonts w:ascii="Times New Roman" w:eastAsia="Times New Roman" w:hAnsi="Times New Roman" w:cs="Times New Roman"/>
                <w:color w:val="000000"/>
                <w:sz w:val="20"/>
                <w:lang w:val="en-US"/>
              </w:rPr>
              <w:t>y, Mahmud, Nanda, &amp; Candra</w:t>
            </w:r>
          </w:p>
        </w:tc>
      </w:tr>
      <w:tr w:rsidR="00526100" w:rsidRPr="00526100" w14:paraId="43DB05C0" w14:textId="77777777" w:rsidTr="004D6835">
        <w:trPr>
          <w:trHeight w:val="261"/>
        </w:trPr>
        <w:tc>
          <w:tcPr>
            <w:tcW w:w="1440" w:type="dxa"/>
            <w:tcBorders>
              <w:top w:val="nil"/>
              <w:left w:val="nil"/>
              <w:bottom w:val="single" w:sz="4" w:space="0" w:color="auto"/>
              <w:right w:val="nil"/>
            </w:tcBorders>
          </w:tcPr>
          <w:p w14:paraId="3AEBC9BB" w14:textId="77777777" w:rsidR="00526100" w:rsidRPr="00B44463" w:rsidRDefault="00526100" w:rsidP="00526100">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Year</w:t>
            </w:r>
          </w:p>
        </w:tc>
        <w:tc>
          <w:tcPr>
            <w:tcW w:w="3744" w:type="dxa"/>
            <w:tcBorders>
              <w:top w:val="nil"/>
              <w:left w:val="nil"/>
              <w:bottom w:val="single" w:sz="4" w:space="0" w:color="auto"/>
              <w:right w:val="nil"/>
            </w:tcBorders>
            <w:shd w:val="clear" w:color="auto" w:fill="auto"/>
          </w:tcPr>
          <w:p w14:paraId="02A6D14C" w14:textId="77777777" w:rsidR="00526100" w:rsidRPr="00526100" w:rsidRDefault="00526100" w:rsidP="00526100">
            <w:pPr>
              <w:spacing w:after="0" w:line="240" w:lineRule="auto"/>
              <w:jc w:val="cente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2010</w:t>
            </w:r>
          </w:p>
        </w:tc>
        <w:tc>
          <w:tcPr>
            <w:tcW w:w="3744" w:type="dxa"/>
            <w:tcBorders>
              <w:top w:val="nil"/>
              <w:left w:val="nil"/>
              <w:bottom w:val="single" w:sz="4" w:space="0" w:color="auto"/>
              <w:right w:val="nil"/>
            </w:tcBorders>
            <w:shd w:val="clear" w:color="auto" w:fill="auto"/>
          </w:tcPr>
          <w:p w14:paraId="54B7F33A" w14:textId="77777777" w:rsidR="00526100" w:rsidRPr="00526100" w:rsidRDefault="00526100" w:rsidP="00526100">
            <w:pPr>
              <w:spacing w:after="0" w:line="240" w:lineRule="auto"/>
              <w:jc w:val="cente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2011</w:t>
            </w:r>
          </w:p>
        </w:tc>
        <w:tc>
          <w:tcPr>
            <w:tcW w:w="3744" w:type="dxa"/>
            <w:tcBorders>
              <w:top w:val="nil"/>
              <w:left w:val="nil"/>
              <w:bottom w:val="single" w:sz="4" w:space="0" w:color="auto"/>
              <w:right w:val="nil"/>
            </w:tcBorders>
            <w:shd w:val="clear" w:color="auto" w:fill="auto"/>
          </w:tcPr>
          <w:p w14:paraId="2FFACEC4" w14:textId="77777777" w:rsidR="00526100" w:rsidRPr="00526100" w:rsidRDefault="00526100" w:rsidP="00526100">
            <w:pPr>
              <w:spacing w:after="0" w:line="240" w:lineRule="auto"/>
              <w:jc w:val="cente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2018</w:t>
            </w:r>
          </w:p>
        </w:tc>
      </w:tr>
      <w:tr w:rsidR="00526100" w:rsidRPr="00526100" w14:paraId="01268DCB" w14:textId="77777777" w:rsidTr="004D6835">
        <w:trPr>
          <w:trHeight w:val="261"/>
        </w:trPr>
        <w:tc>
          <w:tcPr>
            <w:tcW w:w="1440" w:type="dxa"/>
            <w:tcBorders>
              <w:top w:val="single" w:sz="4" w:space="0" w:color="auto"/>
              <w:left w:val="nil"/>
              <w:bottom w:val="nil"/>
              <w:right w:val="nil"/>
            </w:tcBorders>
          </w:tcPr>
          <w:p w14:paraId="44787AB4" w14:textId="77777777" w:rsidR="00526100" w:rsidRPr="00B44463" w:rsidRDefault="00526100" w:rsidP="00526100">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Workplace</w:t>
            </w:r>
          </w:p>
        </w:tc>
        <w:tc>
          <w:tcPr>
            <w:tcW w:w="3744" w:type="dxa"/>
            <w:tcBorders>
              <w:top w:val="single" w:sz="4" w:space="0" w:color="auto"/>
              <w:left w:val="nil"/>
              <w:bottom w:val="nil"/>
              <w:right w:val="nil"/>
            </w:tcBorders>
            <w:shd w:val="clear" w:color="auto" w:fill="auto"/>
            <w:hideMark/>
          </w:tcPr>
          <w:p w14:paraId="5D083111" w14:textId="77777777" w:rsidR="00526100" w:rsidRPr="00526100" w:rsidRDefault="00526100" w:rsidP="00732F9B">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28 EAPs </w:t>
            </w:r>
          </w:p>
        </w:tc>
        <w:tc>
          <w:tcPr>
            <w:tcW w:w="3744" w:type="dxa"/>
            <w:tcBorders>
              <w:top w:val="single" w:sz="4" w:space="0" w:color="auto"/>
              <w:left w:val="nil"/>
              <w:bottom w:val="nil"/>
              <w:right w:val="nil"/>
            </w:tcBorders>
            <w:shd w:val="clear" w:color="auto" w:fill="auto"/>
            <w:hideMark/>
          </w:tcPr>
          <w:p w14:paraId="1E4F45AD" w14:textId="77777777" w:rsidR="00526100" w:rsidRPr="00526100" w:rsidRDefault="00526100" w:rsidP="00732F9B">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16 organizations in South Africa </w:t>
            </w:r>
          </w:p>
        </w:tc>
        <w:tc>
          <w:tcPr>
            <w:tcW w:w="3744" w:type="dxa"/>
            <w:tcBorders>
              <w:top w:val="single" w:sz="4" w:space="0" w:color="auto"/>
              <w:left w:val="nil"/>
              <w:bottom w:val="nil"/>
              <w:right w:val="nil"/>
            </w:tcBorders>
            <w:shd w:val="clear" w:color="auto" w:fill="auto"/>
            <w:hideMark/>
          </w:tcPr>
          <w:p w14:paraId="6230B1EC" w14:textId="77777777" w:rsidR="00526100" w:rsidRPr="00526100" w:rsidRDefault="00526100" w:rsidP="00812DD6">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US Military</w:t>
            </w:r>
          </w:p>
        </w:tc>
      </w:tr>
      <w:tr w:rsidR="00526100" w:rsidRPr="00526100" w14:paraId="578213DB" w14:textId="77777777" w:rsidTr="00812DD6">
        <w:trPr>
          <w:trHeight w:val="600"/>
        </w:trPr>
        <w:tc>
          <w:tcPr>
            <w:tcW w:w="1440" w:type="dxa"/>
            <w:tcBorders>
              <w:top w:val="nil"/>
              <w:left w:val="nil"/>
              <w:bottom w:val="nil"/>
              <w:right w:val="nil"/>
            </w:tcBorders>
          </w:tcPr>
          <w:p w14:paraId="3F1A5D2B" w14:textId="77777777" w:rsidR="00526100" w:rsidRPr="00B44463" w:rsidRDefault="00526100" w:rsidP="00526100">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Workforce Size</w:t>
            </w:r>
          </w:p>
        </w:tc>
        <w:tc>
          <w:tcPr>
            <w:tcW w:w="3744" w:type="dxa"/>
            <w:tcBorders>
              <w:top w:val="nil"/>
              <w:left w:val="nil"/>
              <w:bottom w:val="nil"/>
              <w:right w:val="nil"/>
            </w:tcBorders>
            <w:shd w:val="clear" w:color="auto" w:fill="auto"/>
            <w:hideMark/>
          </w:tcPr>
          <w:p w14:paraId="71750BD8" w14:textId="77777777" w:rsidR="00526100" w:rsidRPr="00526100" w:rsidRDefault="00732F9B" w:rsidP="00812DD6">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 xml:space="preserve">Variety of </w:t>
            </w:r>
            <w:r w:rsidR="00526100" w:rsidRPr="00526100">
              <w:rPr>
                <w:rFonts w:ascii="Times New Roman" w:eastAsia="Times New Roman" w:hAnsi="Times New Roman" w:cs="Times New Roman"/>
                <w:color w:val="000000"/>
                <w:sz w:val="20"/>
                <w:lang w:val="en-US"/>
              </w:rPr>
              <w:t>different corporations across multiple industries</w:t>
            </w:r>
          </w:p>
        </w:tc>
        <w:tc>
          <w:tcPr>
            <w:tcW w:w="3744" w:type="dxa"/>
            <w:tcBorders>
              <w:top w:val="nil"/>
              <w:left w:val="nil"/>
              <w:bottom w:val="nil"/>
              <w:right w:val="nil"/>
            </w:tcBorders>
            <w:shd w:val="clear" w:color="auto" w:fill="auto"/>
            <w:hideMark/>
          </w:tcPr>
          <w:p w14:paraId="32543EE0" w14:textId="77777777" w:rsidR="00526100" w:rsidRPr="00526100" w:rsidRDefault="00526100" w:rsidP="00812DD6">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Five organizations had between</w:t>
            </w:r>
            <w:r w:rsidR="00812DD6">
              <w:rPr>
                <w:rFonts w:ascii="Times New Roman" w:eastAsia="Times New Roman" w:hAnsi="Times New Roman" w:cs="Times New Roman"/>
                <w:color w:val="000000"/>
                <w:sz w:val="20"/>
                <w:lang w:val="en-US"/>
              </w:rPr>
              <w:t xml:space="preserve"> 1001 and 3000 employees, </w:t>
            </w:r>
            <w:r w:rsidRPr="00526100">
              <w:rPr>
                <w:rFonts w:ascii="Times New Roman" w:eastAsia="Times New Roman" w:hAnsi="Times New Roman" w:cs="Times New Roman"/>
                <w:color w:val="000000"/>
                <w:sz w:val="20"/>
                <w:lang w:val="en-US"/>
              </w:rPr>
              <w:t>four had between 5001 and 10000</w:t>
            </w:r>
            <w:r w:rsidR="00812DD6">
              <w:rPr>
                <w:rFonts w:ascii="Times New Roman" w:eastAsia="Times New Roman" w:hAnsi="Times New Roman" w:cs="Times New Roman"/>
                <w:color w:val="000000"/>
                <w:sz w:val="20"/>
                <w:lang w:val="en-US"/>
              </w:rPr>
              <w:t>, remaining 7 organizations workforces were not reported</w:t>
            </w:r>
          </w:p>
        </w:tc>
        <w:tc>
          <w:tcPr>
            <w:tcW w:w="3744" w:type="dxa"/>
            <w:tcBorders>
              <w:top w:val="nil"/>
              <w:left w:val="nil"/>
              <w:bottom w:val="nil"/>
              <w:right w:val="nil"/>
            </w:tcBorders>
            <w:shd w:val="clear" w:color="auto" w:fill="auto"/>
            <w:hideMark/>
          </w:tcPr>
          <w:p w14:paraId="64FCF64F" w14:textId="77777777" w:rsidR="00526100" w:rsidRPr="00526100" w:rsidRDefault="005E3BFF" w:rsidP="00812DD6">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Not Reported</w:t>
            </w:r>
          </w:p>
        </w:tc>
      </w:tr>
      <w:tr w:rsidR="00526100" w:rsidRPr="00526100" w14:paraId="6399511E" w14:textId="77777777" w:rsidTr="00812DD6">
        <w:trPr>
          <w:trHeight w:val="261"/>
        </w:trPr>
        <w:tc>
          <w:tcPr>
            <w:tcW w:w="1440" w:type="dxa"/>
            <w:tcBorders>
              <w:top w:val="nil"/>
              <w:left w:val="nil"/>
              <w:bottom w:val="nil"/>
              <w:right w:val="nil"/>
            </w:tcBorders>
          </w:tcPr>
          <w:p w14:paraId="3440ACA0" w14:textId="77777777" w:rsidR="00526100" w:rsidRPr="00B44463" w:rsidRDefault="00526100" w:rsidP="00526100">
            <w:pPr>
              <w:spacing w:after="0" w:line="240" w:lineRule="auto"/>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EAP</w:t>
            </w:r>
            <w:r w:rsidRPr="00B44463">
              <w:rPr>
                <w:rFonts w:ascii="Times New Roman" w:eastAsia="Times New Roman" w:hAnsi="Times New Roman" w:cs="Times New Roman"/>
                <w:color w:val="000000"/>
                <w:sz w:val="20"/>
                <w:lang w:val="en-US"/>
              </w:rPr>
              <w:t xml:space="preserve"> Delivery</w:t>
            </w:r>
          </w:p>
        </w:tc>
        <w:tc>
          <w:tcPr>
            <w:tcW w:w="3744" w:type="dxa"/>
            <w:tcBorders>
              <w:top w:val="nil"/>
              <w:left w:val="nil"/>
              <w:bottom w:val="nil"/>
              <w:right w:val="nil"/>
            </w:tcBorders>
            <w:shd w:val="clear" w:color="auto" w:fill="auto"/>
            <w:hideMark/>
          </w:tcPr>
          <w:p w14:paraId="302B3777" w14:textId="77777777" w:rsidR="00526100" w:rsidRPr="00526100" w:rsidRDefault="00526100" w:rsidP="00812DD6">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External</w:t>
            </w:r>
          </w:p>
        </w:tc>
        <w:tc>
          <w:tcPr>
            <w:tcW w:w="3744" w:type="dxa"/>
            <w:tcBorders>
              <w:top w:val="nil"/>
              <w:left w:val="nil"/>
              <w:bottom w:val="nil"/>
              <w:right w:val="nil"/>
            </w:tcBorders>
            <w:shd w:val="clear" w:color="auto" w:fill="auto"/>
            <w:hideMark/>
          </w:tcPr>
          <w:p w14:paraId="04FB92B2" w14:textId="77777777" w:rsidR="00526100" w:rsidRPr="00526100" w:rsidRDefault="00526100" w:rsidP="00812DD6">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Internal</w:t>
            </w:r>
          </w:p>
        </w:tc>
        <w:tc>
          <w:tcPr>
            <w:tcW w:w="3744" w:type="dxa"/>
            <w:tcBorders>
              <w:top w:val="nil"/>
              <w:left w:val="nil"/>
              <w:bottom w:val="nil"/>
              <w:right w:val="nil"/>
            </w:tcBorders>
            <w:shd w:val="clear" w:color="auto" w:fill="auto"/>
            <w:hideMark/>
          </w:tcPr>
          <w:p w14:paraId="42376E90" w14:textId="77777777" w:rsidR="00526100" w:rsidRPr="00526100" w:rsidRDefault="00526100" w:rsidP="00812DD6">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Internal</w:t>
            </w:r>
          </w:p>
        </w:tc>
      </w:tr>
      <w:tr w:rsidR="00526100" w:rsidRPr="00526100" w14:paraId="5BF5EEDF" w14:textId="77777777" w:rsidTr="00732F9B">
        <w:trPr>
          <w:trHeight w:val="441"/>
        </w:trPr>
        <w:tc>
          <w:tcPr>
            <w:tcW w:w="1440" w:type="dxa"/>
            <w:tcBorders>
              <w:top w:val="nil"/>
              <w:left w:val="nil"/>
              <w:bottom w:val="nil"/>
              <w:right w:val="nil"/>
            </w:tcBorders>
          </w:tcPr>
          <w:p w14:paraId="0BC9DEB1" w14:textId="77777777" w:rsidR="00526100" w:rsidRPr="00B44463" w:rsidRDefault="00526100" w:rsidP="00526100">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Study Time Frame</w:t>
            </w:r>
          </w:p>
        </w:tc>
        <w:tc>
          <w:tcPr>
            <w:tcW w:w="3744" w:type="dxa"/>
            <w:tcBorders>
              <w:top w:val="nil"/>
              <w:left w:val="nil"/>
              <w:bottom w:val="nil"/>
              <w:right w:val="nil"/>
            </w:tcBorders>
            <w:shd w:val="clear" w:color="auto" w:fill="auto"/>
            <w:hideMark/>
          </w:tcPr>
          <w:p w14:paraId="5A70EA44" w14:textId="77777777" w:rsidR="00526100" w:rsidRPr="00526100" w:rsidRDefault="00526100" w:rsidP="00812DD6">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August to December 2008</w:t>
            </w:r>
          </w:p>
        </w:tc>
        <w:tc>
          <w:tcPr>
            <w:tcW w:w="3744" w:type="dxa"/>
            <w:tcBorders>
              <w:top w:val="nil"/>
              <w:left w:val="nil"/>
              <w:bottom w:val="nil"/>
              <w:right w:val="nil"/>
            </w:tcBorders>
            <w:shd w:val="clear" w:color="auto" w:fill="auto"/>
            <w:hideMark/>
          </w:tcPr>
          <w:p w14:paraId="38D814DC" w14:textId="77777777" w:rsidR="00526100" w:rsidRPr="00526100" w:rsidRDefault="00526100" w:rsidP="00812DD6">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2 years</w:t>
            </w:r>
          </w:p>
        </w:tc>
        <w:tc>
          <w:tcPr>
            <w:tcW w:w="3744" w:type="dxa"/>
            <w:tcBorders>
              <w:top w:val="nil"/>
              <w:left w:val="nil"/>
              <w:bottom w:val="nil"/>
              <w:right w:val="nil"/>
            </w:tcBorders>
            <w:shd w:val="clear" w:color="auto" w:fill="auto"/>
            <w:hideMark/>
          </w:tcPr>
          <w:p w14:paraId="54A513D0" w14:textId="77777777" w:rsidR="00526100" w:rsidRPr="00526100" w:rsidRDefault="00526100" w:rsidP="00732F9B">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Cross-sectional </w:t>
            </w:r>
          </w:p>
        </w:tc>
      </w:tr>
      <w:tr w:rsidR="00526100" w:rsidRPr="00526100" w14:paraId="0FAD7F4A" w14:textId="77777777" w:rsidTr="00732F9B">
        <w:trPr>
          <w:trHeight w:val="3051"/>
        </w:trPr>
        <w:tc>
          <w:tcPr>
            <w:tcW w:w="1440" w:type="dxa"/>
            <w:tcBorders>
              <w:top w:val="nil"/>
              <w:left w:val="nil"/>
              <w:bottom w:val="nil"/>
              <w:right w:val="nil"/>
            </w:tcBorders>
          </w:tcPr>
          <w:p w14:paraId="04D9D8D3" w14:textId="77777777" w:rsidR="00526100" w:rsidRPr="00B44463" w:rsidRDefault="00526100" w:rsidP="00526100">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Study's Purpose</w:t>
            </w:r>
          </w:p>
        </w:tc>
        <w:tc>
          <w:tcPr>
            <w:tcW w:w="3744" w:type="dxa"/>
            <w:tcBorders>
              <w:top w:val="nil"/>
              <w:left w:val="nil"/>
              <w:bottom w:val="nil"/>
              <w:right w:val="nil"/>
            </w:tcBorders>
            <w:shd w:val="clear" w:color="auto" w:fill="auto"/>
            <w:hideMark/>
          </w:tcPr>
          <w:p w14:paraId="345FDB23" w14:textId="77777777" w:rsidR="00732F9B" w:rsidRDefault="00732F9B" w:rsidP="00732F9B">
            <w:pPr>
              <w:spacing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D</w:t>
            </w:r>
            <w:r w:rsidR="00526100" w:rsidRPr="00526100">
              <w:rPr>
                <w:rFonts w:ascii="Times New Roman" w:eastAsia="Times New Roman" w:hAnsi="Times New Roman" w:cs="Times New Roman"/>
                <w:color w:val="000000"/>
                <w:sz w:val="20"/>
                <w:lang w:val="en-US"/>
              </w:rPr>
              <w:t xml:space="preserve">escribe the services that are delivered to </w:t>
            </w:r>
            <w:r>
              <w:rPr>
                <w:rFonts w:ascii="Times New Roman" w:eastAsia="Times New Roman" w:hAnsi="Times New Roman" w:cs="Times New Roman"/>
                <w:color w:val="000000"/>
                <w:sz w:val="20"/>
                <w:lang w:val="en-US"/>
              </w:rPr>
              <w:t>employees whom contact the EAP and are identified as victims of Intimate Part</w:t>
            </w:r>
            <w:r w:rsidR="00526100" w:rsidRPr="00526100">
              <w:rPr>
                <w:rFonts w:ascii="Times New Roman" w:eastAsia="Times New Roman" w:hAnsi="Times New Roman" w:cs="Times New Roman"/>
                <w:color w:val="000000"/>
                <w:sz w:val="20"/>
                <w:lang w:val="en-US"/>
              </w:rPr>
              <w:t>n</w:t>
            </w:r>
            <w:r>
              <w:rPr>
                <w:rFonts w:ascii="Times New Roman" w:eastAsia="Times New Roman" w:hAnsi="Times New Roman" w:cs="Times New Roman"/>
                <w:color w:val="000000"/>
                <w:sz w:val="20"/>
                <w:lang w:val="en-US"/>
              </w:rPr>
              <w:t>e</w:t>
            </w:r>
            <w:r w:rsidR="00526100" w:rsidRPr="00526100">
              <w:rPr>
                <w:rFonts w:ascii="Times New Roman" w:eastAsia="Times New Roman" w:hAnsi="Times New Roman" w:cs="Times New Roman"/>
                <w:color w:val="000000"/>
                <w:sz w:val="20"/>
                <w:lang w:val="en-US"/>
              </w:rPr>
              <w:t>r Violence (IPV)</w:t>
            </w:r>
            <w:r>
              <w:rPr>
                <w:rFonts w:ascii="Times New Roman" w:eastAsia="Times New Roman" w:hAnsi="Times New Roman" w:cs="Times New Roman"/>
                <w:color w:val="000000"/>
                <w:sz w:val="20"/>
                <w:lang w:val="en-US"/>
              </w:rPr>
              <w:t xml:space="preserve">. </w:t>
            </w:r>
          </w:p>
          <w:p w14:paraId="5C66A84D" w14:textId="77777777" w:rsidR="00732F9B" w:rsidRDefault="00732F9B" w:rsidP="00732F9B">
            <w:pPr>
              <w:spacing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D</w:t>
            </w:r>
            <w:r w:rsidR="00526100" w:rsidRPr="00526100">
              <w:rPr>
                <w:rFonts w:ascii="Times New Roman" w:eastAsia="Times New Roman" w:hAnsi="Times New Roman" w:cs="Times New Roman"/>
                <w:color w:val="000000"/>
                <w:sz w:val="20"/>
                <w:lang w:val="en-US"/>
              </w:rPr>
              <w:t>etermine the satisfaction of women experiencing IPV with both EAP ser</w:t>
            </w:r>
            <w:r>
              <w:rPr>
                <w:rFonts w:ascii="Times New Roman" w:eastAsia="Times New Roman" w:hAnsi="Times New Roman" w:cs="Times New Roman"/>
                <w:color w:val="000000"/>
                <w:sz w:val="20"/>
                <w:lang w:val="en-US"/>
              </w:rPr>
              <w:t xml:space="preserve">vices and representatives. </w:t>
            </w:r>
          </w:p>
          <w:p w14:paraId="695382F6" w14:textId="77777777" w:rsidR="00526100" w:rsidRPr="00526100" w:rsidRDefault="00732F9B" w:rsidP="00732F9B">
            <w:pPr>
              <w:spacing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I</w:t>
            </w:r>
            <w:r w:rsidR="00526100" w:rsidRPr="00526100">
              <w:rPr>
                <w:rFonts w:ascii="Times New Roman" w:eastAsia="Times New Roman" w:hAnsi="Times New Roman" w:cs="Times New Roman"/>
                <w:color w:val="000000"/>
                <w:sz w:val="20"/>
                <w:lang w:val="en-US"/>
              </w:rPr>
              <w:t>dentify challenges for IPV service delivery, as reported by both EAP providers and women impacted by IPV.</w:t>
            </w:r>
          </w:p>
        </w:tc>
        <w:tc>
          <w:tcPr>
            <w:tcW w:w="3744" w:type="dxa"/>
            <w:tcBorders>
              <w:top w:val="nil"/>
              <w:left w:val="nil"/>
              <w:bottom w:val="nil"/>
              <w:right w:val="nil"/>
            </w:tcBorders>
            <w:shd w:val="clear" w:color="auto" w:fill="auto"/>
            <w:hideMark/>
          </w:tcPr>
          <w:p w14:paraId="43D41446" w14:textId="77777777" w:rsidR="00732F9B" w:rsidRDefault="00732F9B" w:rsidP="00732F9B">
            <w:pPr>
              <w:spacing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D</w:t>
            </w:r>
            <w:r w:rsidR="00526100" w:rsidRPr="00526100">
              <w:rPr>
                <w:rFonts w:ascii="Times New Roman" w:eastAsia="Times New Roman" w:hAnsi="Times New Roman" w:cs="Times New Roman"/>
                <w:color w:val="000000"/>
                <w:sz w:val="20"/>
                <w:lang w:val="en-US"/>
              </w:rPr>
              <w:t xml:space="preserve">efine employee wellness as it currently exists in selected </w:t>
            </w:r>
            <w:r>
              <w:rPr>
                <w:rFonts w:ascii="Times New Roman" w:eastAsia="Times New Roman" w:hAnsi="Times New Roman" w:cs="Times New Roman"/>
                <w:color w:val="000000"/>
                <w:sz w:val="20"/>
                <w:lang w:val="en-US"/>
              </w:rPr>
              <w:t xml:space="preserve">South African organizations.  </w:t>
            </w:r>
          </w:p>
          <w:p w14:paraId="3A1A9367" w14:textId="77777777" w:rsidR="00732F9B" w:rsidRDefault="00732F9B" w:rsidP="00732F9B">
            <w:pPr>
              <w:spacing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 xml:space="preserve">Determine reasons </w:t>
            </w:r>
            <w:r w:rsidRPr="00526100">
              <w:rPr>
                <w:rFonts w:ascii="Times New Roman" w:eastAsia="Times New Roman" w:hAnsi="Times New Roman" w:cs="Times New Roman"/>
                <w:color w:val="000000"/>
                <w:sz w:val="20"/>
                <w:lang w:val="en-US"/>
              </w:rPr>
              <w:t>organizations</w:t>
            </w:r>
            <w:r>
              <w:rPr>
                <w:rFonts w:ascii="Times New Roman" w:eastAsia="Times New Roman" w:hAnsi="Times New Roman" w:cs="Times New Roman"/>
                <w:color w:val="000000"/>
                <w:sz w:val="20"/>
                <w:lang w:val="en-US"/>
              </w:rPr>
              <w:t xml:space="preserve"> introduce Employee Wellness Programs (EWPs), </w:t>
            </w:r>
            <w:r w:rsidR="00526100" w:rsidRPr="00526100">
              <w:rPr>
                <w:rFonts w:ascii="Times New Roman" w:eastAsia="Times New Roman" w:hAnsi="Times New Roman" w:cs="Times New Roman"/>
                <w:color w:val="000000"/>
                <w:sz w:val="20"/>
                <w:lang w:val="en-US"/>
              </w:rPr>
              <w:t xml:space="preserve">problems </w:t>
            </w:r>
            <w:r>
              <w:rPr>
                <w:rFonts w:ascii="Times New Roman" w:eastAsia="Times New Roman" w:hAnsi="Times New Roman" w:cs="Times New Roman"/>
                <w:color w:val="000000"/>
                <w:sz w:val="20"/>
                <w:lang w:val="en-US"/>
              </w:rPr>
              <w:t>with implementation, employee needs and participation in EWP, and how EWPs are funded by organizations.</w:t>
            </w:r>
          </w:p>
          <w:p w14:paraId="2895A552" w14:textId="77777777" w:rsidR="00526100" w:rsidRPr="00526100" w:rsidRDefault="00732F9B" w:rsidP="00732F9B">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 xml:space="preserve">Investigate how managers are involved in managing EWPs, how </w:t>
            </w:r>
            <w:r w:rsidRPr="00526100">
              <w:rPr>
                <w:rFonts w:ascii="Times New Roman" w:eastAsia="Times New Roman" w:hAnsi="Times New Roman" w:cs="Times New Roman"/>
                <w:color w:val="000000"/>
                <w:sz w:val="20"/>
                <w:lang w:val="en-US"/>
              </w:rPr>
              <w:t>organizations</w:t>
            </w:r>
            <w:r>
              <w:rPr>
                <w:rFonts w:ascii="Times New Roman" w:eastAsia="Times New Roman" w:hAnsi="Times New Roman" w:cs="Times New Roman"/>
                <w:color w:val="000000"/>
                <w:sz w:val="20"/>
                <w:lang w:val="en-US"/>
              </w:rPr>
              <w:t xml:space="preserve"> present the results and rate the success and effectiveness of their EWPs. </w:t>
            </w:r>
          </w:p>
        </w:tc>
        <w:tc>
          <w:tcPr>
            <w:tcW w:w="3744" w:type="dxa"/>
            <w:tcBorders>
              <w:top w:val="nil"/>
              <w:left w:val="nil"/>
              <w:bottom w:val="nil"/>
              <w:right w:val="nil"/>
            </w:tcBorders>
            <w:shd w:val="clear" w:color="auto" w:fill="auto"/>
            <w:hideMark/>
          </w:tcPr>
          <w:p w14:paraId="0FF3F889" w14:textId="77777777" w:rsidR="00732F9B" w:rsidRDefault="00732F9B" w:rsidP="00732F9B">
            <w:pPr>
              <w:spacing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D</w:t>
            </w:r>
            <w:r w:rsidR="00526100" w:rsidRPr="00526100">
              <w:rPr>
                <w:rFonts w:ascii="Times New Roman" w:eastAsia="Times New Roman" w:hAnsi="Times New Roman" w:cs="Times New Roman"/>
                <w:color w:val="000000"/>
                <w:sz w:val="20"/>
                <w:lang w:val="en-US"/>
              </w:rPr>
              <w:t xml:space="preserve">escribe the effectiveness and satisfaction of each non-medical counseling program at addressing individuals' problems. </w:t>
            </w:r>
          </w:p>
          <w:p w14:paraId="1D9246A9" w14:textId="77777777" w:rsidR="00526100" w:rsidRPr="00526100" w:rsidRDefault="00526100" w:rsidP="00812DD6">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No specific outcome (e.g</w:t>
            </w:r>
            <w:r w:rsidR="00732F9B">
              <w:rPr>
                <w:rFonts w:ascii="Times New Roman" w:eastAsia="Times New Roman" w:hAnsi="Times New Roman" w:cs="Times New Roman"/>
                <w:color w:val="000000"/>
                <w:sz w:val="20"/>
                <w:lang w:val="en-US"/>
              </w:rPr>
              <w:t>.</w:t>
            </w:r>
            <w:r w:rsidRPr="00526100">
              <w:rPr>
                <w:rFonts w:ascii="Times New Roman" w:eastAsia="Times New Roman" w:hAnsi="Times New Roman" w:cs="Times New Roman"/>
                <w:color w:val="000000"/>
                <w:sz w:val="20"/>
                <w:lang w:val="en-US"/>
              </w:rPr>
              <w:t xml:space="preserve"> grief, depression) was specifically measured.</w:t>
            </w:r>
          </w:p>
        </w:tc>
      </w:tr>
      <w:tr w:rsidR="00526100" w:rsidRPr="00526100" w14:paraId="123E7903" w14:textId="77777777" w:rsidTr="004D6835">
        <w:trPr>
          <w:trHeight w:val="1260"/>
        </w:trPr>
        <w:tc>
          <w:tcPr>
            <w:tcW w:w="1440" w:type="dxa"/>
            <w:tcBorders>
              <w:top w:val="nil"/>
              <w:left w:val="nil"/>
              <w:right w:val="nil"/>
            </w:tcBorders>
          </w:tcPr>
          <w:p w14:paraId="0DF8EEB6" w14:textId="77777777" w:rsidR="00526100" w:rsidRPr="00B44463" w:rsidRDefault="00526100" w:rsidP="004D6835">
            <w:pPr>
              <w:spacing w:after="0" w:line="240" w:lineRule="auto"/>
              <w:ind w:left="144" w:hanging="144"/>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Methodology</w:t>
            </w:r>
          </w:p>
        </w:tc>
        <w:tc>
          <w:tcPr>
            <w:tcW w:w="3744" w:type="dxa"/>
            <w:tcBorders>
              <w:top w:val="nil"/>
              <w:left w:val="nil"/>
              <w:right w:val="nil"/>
            </w:tcBorders>
            <w:shd w:val="clear" w:color="auto" w:fill="auto"/>
            <w:hideMark/>
          </w:tcPr>
          <w:p w14:paraId="21EA71C5" w14:textId="77777777" w:rsidR="00732F9B" w:rsidRDefault="00526100" w:rsidP="004D6835">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Semi-structured phone interview with EAP representatives regarding policies. </w:t>
            </w:r>
          </w:p>
          <w:p w14:paraId="3A1B4824" w14:textId="77777777" w:rsidR="00526100" w:rsidRPr="00526100" w:rsidRDefault="00526100" w:rsidP="004D6835">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National web-based </w:t>
            </w:r>
            <w:r w:rsidR="00732F9B" w:rsidRPr="00526100">
              <w:rPr>
                <w:rFonts w:ascii="Times New Roman" w:eastAsia="Times New Roman" w:hAnsi="Times New Roman" w:cs="Times New Roman"/>
                <w:color w:val="000000"/>
                <w:sz w:val="20"/>
                <w:lang w:val="en-US"/>
              </w:rPr>
              <w:t>survey</w:t>
            </w:r>
            <w:r w:rsidRPr="00526100">
              <w:rPr>
                <w:rFonts w:ascii="Times New Roman" w:eastAsia="Times New Roman" w:hAnsi="Times New Roman" w:cs="Times New Roman"/>
                <w:color w:val="000000"/>
                <w:sz w:val="20"/>
                <w:lang w:val="en-US"/>
              </w:rPr>
              <w:t xml:space="preserve"> with IPV victims who accessed EAP services for IPV-related assistance. </w:t>
            </w:r>
          </w:p>
        </w:tc>
        <w:tc>
          <w:tcPr>
            <w:tcW w:w="3744" w:type="dxa"/>
            <w:tcBorders>
              <w:top w:val="nil"/>
              <w:left w:val="nil"/>
              <w:right w:val="nil"/>
            </w:tcBorders>
            <w:shd w:val="clear" w:color="auto" w:fill="auto"/>
            <w:hideMark/>
          </w:tcPr>
          <w:p w14:paraId="43AB620C" w14:textId="24EEEB93" w:rsidR="00526100" w:rsidRPr="00526100" w:rsidRDefault="00732F9B" w:rsidP="004D6835">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C</w:t>
            </w:r>
            <w:r w:rsidR="00526100" w:rsidRPr="00526100">
              <w:rPr>
                <w:rFonts w:ascii="Times New Roman" w:eastAsia="Times New Roman" w:hAnsi="Times New Roman" w:cs="Times New Roman"/>
                <w:color w:val="000000"/>
                <w:sz w:val="20"/>
                <w:lang w:val="en-US"/>
              </w:rPr>
              <w:t>ross-sectional survey was administered, the Employee Wellness Survey, to assess for what was being done as part of these workplace wellness programs</w:t>
            </w:r>
            <w:r w:rsidR="000D1DB5">
              <w:rPr>
                <w:rFonts w:ascii="Times New Roman" w:eastAsia="Times New Roman" w:hAnsi="Times New Roman" w:cs="Times New Roman"/>
                <w:color w:val="000000"/>
                <w:sz w:val="20"/>
                <w:lang w:val="en-US"/>
              </w:rPr>
              <w:t>.</w:t>
            </w:r>
          </w:p>
        </w:tc>
        <w:tc>
          <w:tcPr>
            <w:tcW w:w="3744" w:type="dxa"/>
            <w:tcBorders>
              <w:top w:val="nil"/>
              <w:left w:val="nil"/>
              <w:right w:val="nil"/>
            </w:tcBorders>
            <w:shd w:val="clear" w:color="auto" w:fill="auto"/>
            <w:hideMark/>
          </w:tcPr>
          <w:p w14:paraId="20DD3F74" w14:textId="77777777" w:rsidR="00526100" w:rsidRDefault="00526100" w:rsidP="004D6835">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Cross-sectional survey that utilized a logic model, and regression analysis</w:t>
            </w:r>
            <w:r w:rsidR="00684AFC">
              <w:rPr>
                <w:rFonts w:ascii="Times New Roman" w:eastAsia="Times New Roman" w:hAnsi="Times New Roman" w:cs="Times New Roman"/>
                <w:color w:val="000000"/>
                <w:sz w:val="20"/>
                <w:lang w:val="en-US"/>
              </w:rPr>
              <w:t xml:space="preserve">. </w:t>
            </w:r>
          </w:p>
          <w:p w14:paraId="62D7F77E" w14:textId="7CD02AF5" w:rsidR="00684AFC" w:rsidRPr="00526100" w:rsidRDefault="00684AFC" w:rsidP="004D6835">
            <w:pPr>
              <w:spacing w:after="0"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Comparison of two providers (MLFC and OneSource)</w:t>
            </w:r>
            <w:r w:rsidR="000D1DB5">
              <w:rPr>
                <w:rFonts w:ascii="Times New Roman" w:eastAsia="Times New Roman" w:hAnsi="Times New Roman" w:cs="Times New Roman"/>
                <w:color w:val="000000"/>
                <w:sz w:val="20"/>
                <w:lang w:val="en-US"/>
              </w:rPr>
              <w:t>.</w:t>
            </w:r>
          </w:p>
        </w:tc>
      </w:tr>
      <w:tr w:rsidR="00526100" w:rsidRPr="00526100" w14:paraId="2C3BE5A8" w14:textId="77777777" w:rsidTr="001C5609">
        <w:trPr>
          <w:trHeight w:val="300"/>
        </w:trPr>
        <w:tc>
          <w:tcPr>
            <w:tcW w:w="1440" w:type="dxa"/>
            <w:tcBorders>
              <w:top w:val="nil"/>
              <w:left w:val="nil"/>
              <w:bottom w:val="single" w:sz="4" w:space="0" w:color="auto"/>
              <w:right w:val="nil"/>
            </w:tcBorders>
          </w:tcPr>
          <w:p w14:paraId="01B53293" w14:textId="77777777" w:rsidR="00526100" w:rsidRPr="00B44463" w:rsidRDefault="007C1A96" w:rsidP="00812DD6">
            <w:pPr>
              <w:spacing w:after="0" w:line="240" w:lineRule="auto"/>
              <w:ind w:left="144" w:hanging="14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Total Methods U</w:t>
            </w:r>
            <w:r w:rsidR="00526100" w:rsidRPr="00B44463">
              <w:rPr>
                <w:rFonts w:ascii="Times New Roman" w:eastAsia="Times New Roman" w:hAnsi="Times New Roman" w:cs="Times New Roman"/>
                <w:color w:val="000000"/>
                <w:sz w:val="20"/>
                <w:szCs w:val="20"/>
                <w:lang w:val="en-US"/>
              </w:rPr>
              <w:t>sed</w:t>
            </w:r>
          </w:p>
        </w:tc>
        <w:tc>
          <w:tcPr>
            <w:tcW w:w="3744" w:type="dxa"/>
            <w:tcBorders>
              <w:top w:val="nil"/>
              <w:left w:val="nil"/>
              <w:bottom w:val="single" w:sz="4" w:space="0" w:color="auto"/>
              <w:right w:val="nil"/>
            </w:tcBorders>
            <w:shd w:val="clear" w:color="auto" w:fill="auto"/>
            <w:noWrap/>
            <w:hideMark/>
          </w:tcPr>
          <w:p w14:paraId="1F61D3A6" w14:textId="77777777" w:rsidR="00526100" w:rsidRPr="00526100" w:rsidRDefault="00526100" w:rsidP="005E3BFF">
            <w:pPr>
              <w:spacing w:after="0" w:line="240" w:lineRule="auto"/>
              <w:ind w:hanging="144"/>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2</w:t>
            </w:r>
          </w:p>
        </w:tc>
        <w:tc>
          <w:tcPr>
            <w:tcW w:w="3744" w:type="dxa"/>
            <w:tcBorders>
              <w:top w:val="nil"/>
              <w:left w:val="nil"/>
              <w:bottom w:val="single" w:sz="4" w:space="0" w:color="auto"/>
              <w:right w:val="nil"/>
            </w:tcBorders>
            <w:shd w:val="clear" w:color="auto" w:fill="auto"/>
            <w:noWrap/>
            <w:hideMark/>
          </w:tcPr>
          <w:p w14:paraId="07013B29" w14:textId="77777777" w:rsidR="00526100" w:rsidRPr="00526100" w:rsidRDefault="00526100" w:rsidP="005E3BFF">
            <w:pPr>
              <w:spacing w:after="0" w:line="240" w:lineRule="auto"/>
              <w:ind w:hanging="144"/>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1</w:t>
            </w:r>
          </w:p>
        </w:tc>
        <w:tc>
          <w:tcPr>
            <w:tcW w:w="3744" w:type="dxa"/>
            <w:tcBorders>
              <w:top w:val="nil"/>
              <w:left w:val="nil"/>
              <w:bottom w:val="single" w:sz="4" w:space="0" w:color="auto"/>
              <w:right w:val="nil"/>
            </w:tcBorders>
            <w:shd w:val="clear" w:color="auto" w:fill="auto"/>
            <w:noWrap/>
            <w:hideMark/>
          </w:tcPr>
          <w:p w14:paraId="554752AF" w14:textId="77777777" w:rsidR="00526100" w:rsidRPr="00526100" w:rsidRDefault="00526100" w:rsidP="005E3BFF">
            <w:pPr>
              <w:spacing w:after="0" w:line="240" w:lineRule="auto"/>
              <w:ind w:hanging="144"/>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1</w:t>
            </w:r>
          </w:p>
        </w:tc>
      </w:tr>
    </w:tbl>
    <w:p w14:paraId="10E62EF5" w14:textId="77777777" w:rsidR="001C5609" w:rsidRDefault="001C5609"/>
    <w:p w14:paraId="69A42712" w14:textId="77777777" w:rsidR="001C5609" w:rsidRPr="001C5609" w:rsidRDefault="001C5609">
      <w:pPr>
        <w:rPr>
          <w:rFonts w:ascii="Times New Roman" w:hAnsi="Times New Roman" w:cs="Times New Roman"/>
          <w:sz w:val="24"/>
        </w:rPr>
      </w:pPr>
      <w:r w:rsidRPr="001C5609">
        <w:rPr>
          <w:rFonts w:ascii="Times New Roman" w:hAnsi="Times New Roman" w:cs="Times New Roman"/>
          <w:sz w:val="24"/>
        </w:rPr>
        <w:lastRenderedPageBreak/>
        <w:t xml:space="preserve">Table 4 </w:t>
      </w:r>
    </w:p>
    <w:p w14:paraId="597BD4F9" w14:textId="77777777" w:rsidR="001C5609" w:rsidRPr="001C5609" w:rsidRDefault="001C5609">
      <w:pPr>
        <w:rPr>
          <w:rFonts w:ascii="Times New Roman" w:hAnsi="Times New Roman" w:cs="Times New Roman"/>
          <w:i/>
          <w:sz w:val="24"/>
        </w:rPr>
      </w:pPr>
      <w:r w:rsidRPr="001C5609">
        <w:rPr>
          <w:rFonts w:ascii="Times New Roman" w:hAnsi="Times New Roman" w:cs="Times New Roman"/>
          <w:i/>
          <w:sz w:val="24"/>
        </w:rPr>
        <w:t xml:space="preserve">Process Evaluation Study Summaries Continued </w:t>
      </w:r>
    </w:p>
    <w:tbl>
      <w:tblPr>
        <w:tblW w:w="12672" w:type="dxa"/>
        <w:tblCellMar>
          <w:left w:w="115" w:type="dxa"/>
          <w:right w:w="115" w:type="dxa"/>
        </w:tblCellMar>
        <w:tblLook w:val="04A0" w:firstRow="1" w:lastRow="0" w:firstColumn="1" w:lastColumn="0" w:noHBand="0" w:noVBand="1"/>
      </w:tblPr>
      <w:tblGrid>
        <w:gridCol w:w="1440"/>
        <w:gridCol w:w="3744"/>
        <w:gridCol w:w="3744"/>
        <w:gridCol w:w="3744"/>
      </w:tblGrid>
      <w:tr w:rsidR="001C5609" w:rsidRPr="00526100" w14:paraId="0A4731DA" w14:textId="77777777" w:rsidTr="001C5609">
        <w:trPr>
          <w:trHeight w:val="288"/>
        </w:trPr>
        <w:tc>
          <w:tcPr>
            <w:tcW w:w="1440" w:type="dxa"/>
            <w:tcBorders>
              <w:top w:val="single" w:sz="4" w:space="0" w:color="auto"/>
              <w:left w:val="nil"/>
              <w:right w:val="nil"/>
            </w:tcBorders>
            <w:vAlign w:val="bottom"/>
          </w:tcPr>
          <w:p w14:paraId="7EA642D3" w14:textId="77777777" w:rsidR="001C5609" w:rsidRPr="00B44463" w:rsidRDefault="001C5609" w:rsidP="001C5609">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Author</w:t>
            </w:r>
          </w:p>
        </w:tc>
        <w:tc>
          <w:tcPr>
            <w:tcW w:w="3744" w:type="dxa"/>
            <w:tcBorders>
              <w:top w:val="single" w:sz="4" w:space="0" w:color="auto"/>
              <w:left w:val="nil"/>
              <w:right w:val="nil"/>
            </w:tcBorders>
            <w:shd w:val="clear" w:color="auto" w:fill="auto"/>
            <w:vAlign w:val="bottom"/>
          </w:tcPr>
          <w:p w14:paraId="4B5E87D8" w14:textId="77777777" w:rsidR="001C5609" w:rsidRPr="00526100" w:rsidRDefault="001C5609" w:rsidP="001C5609">
            <w:pPr>
              <w:spacing w:after="0" w:line="240" w:lineRule="auto"/>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Pollack, </w:t>
            </w:r>
            <w:r>
              <w:rPr>
                <w:rFonts w:ascii="Times New Roman" w:eastAsia="Times New Roman" w:hAnsi="Times New Roman" w:cs="Times New Roman"/>
                <w:color w:val="000000"/>
                <w:sz w:val="20"/>
                <w:lang w:val="en-US"/>
              </w:rPr>
              <w:t>McKa</w:t>
            </w:r>
            <w:r w:rsidRPr="00526100">
              <w:rPr>
                <w:rFonts w:ascii="Times New Roman" w:eastAsia="Times New Roman" w:hAnsi="Times New Roman" w:cs="Times New Roman"/>
                <w:color w:val="000000"/>
                <w:sz w:val="20"/>
                <w:lang w:val="en-US"/>
              </w:rPr>
              <w:t>y, Cumminskey, Clinton-Sherrod, Lindquist, Lasater, Hardison</w:t>
            </w:r>
            <w:r>
              <w:rPr>
                <w:rFonts w:ascii="Times New Roman" w:eastAsia="Times New Roman" w:hAnsi="Times New Roman" w:cs="Times New Roman"/>
                <w:color w:val="000000"/>
                <w:sz w:val="20"/>
                <w:lang w:val="en-US"/>
              </w:rPr>
              <w:t xml:space="preserve"> Walters, Krotki, &amp; Grisso</w:t>
            </w:r>
          </w:p>
        </w:tc>
        <w:tc>
          <w:tcPr>
            <w:tcW w:w="3744" w:type="dxa"/>
            <w:tcBorders>
              <w:top w:val="single" w:sz="4" w:space="0" w:color="auto"/>
              <w:left w:val="nil"/>
              <w:right w:val="nil"/>
            </w:tcBorders>
            <w:shd w:val="clear" w:color="auto" w:fill="auto"/>
            <w:vAlign w:val="bottom"/>
          </w:tcPr>
          <w:p w14:paraId="048E5897" w14:textId="77777777" w:rsidR="001C5609" w:rsidRPr="00526100" w:rsidRDefault="001C5609" w:rsidP="001C5609">
            <w:pPr>
              <w:spacing w:after="0" w:line="240" w:lineRule="auto"/>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S</w:t>
            </w:r>
            <w:r>
              <w:rPr>
                <w:rFonts w:ascii="Times New Roman" w:eastAsia="Times New Roman" w:hAnsi="Times New Roman" w:cs="Times New Roman"/>
                <w:color w:val="000000"/>
                <w:sz w:val="20"/>
                <w:lang w:val="en-US"/>
              </w:rPr>
              <w:t>ieberhagen, Pienaar, &amp; Els</w:t>
            </w:r>
          </w:p>
        </w:tc>
        <w:tc>
          <w:tcPr>
            <w:tcW w:w="3744" w:type="dxa"/>
            <w:tcBorders>
              <w:top w:val="single" w:sz="4" w:space="0" w:color="auto"/>
              <w:left w:val="nil"/>
              <w:right w:val="nil"/>
            </w:tcBorders>
            <w:shd w:val="clear" w:color="auto" w:fill="auto"/>
            <w:vAlign w:val="bottom"/>
          </w:tcPr>
          <w:p w14:paraId="63E95AA4" w14:textId="77777777" w:rsidR="001C5609" w:rsidRPr="00526100" w:rsidRDefault="001C5609" w:rsidP="001C5609">
            <w:pPr>
              <w:spacing w:after="0" w:line="240" w:lineRule="auto"/>
              <w:jc w:val="center"/>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Trail, Martin, Burgette, Ma</w:t>
            </w:r>
            <w:r>
              <w:rPr>
                <w:rFonts w:ascii="Times New Roman" w:eastAsia="Times New Roman" w:hAnsi="Times New Roman" w:cs="Times New Roman"/>
                <w:color w:val="000000"/>
                <w:sz w:val="20"/>
                <w:lang w:val="en-US"/>
              </w:rPr>
              <w:t>y, Mahmud, Nanda, &amp; Candra</w:t>
            </w:r>
          </w:p>
        </w:tc>
      </w:tr>
      <w:tr w:rsidR="001C5609" w:rsidRPr="00526100" w14:paraId="3444EA0C" w14:textId="77777777" w:rsidTr="001C5609">
        <w:trPr>
          <w:trHeight w:val="288"/>
        </w:trPr>
        <w:tc>
          <w:tcPr>
            <w:tcW w:w="1440" w:type="dxa"/>
            <w:tcBorders>
              <w:left w:val="nil"/>
              <w:bottom w:val="single" w:sz="4" w:space="0" w:color="auto"/>
              <w:right w:val="nil"/>
            </w:tcBorders>
          </w:tcPr>
          <w:p w14:paraId="68503DBA" w14:textId="77777777" w:rsidR="001C5609" w:rsidRPr="00B44463" w:rsidRDefault="001C5609" w:rsidP="001C5609">
            <w:pPr>
              <w:spacing w:after="0" w:line="240" w:lineRule="auto"/>
              <w:rPr>
                <w:rFonts w:ascii="Times New Roman" w:eastAsia="Times New Roman" w:hAnsi="Times New Roman" w:cs="Times New Roman"/>
                <w:color w:val="000000"/>
                <w:sz w:val="20"/>
                <w:lang w:val="en-US"/>
              </w:rPr>
            </w:pPr>
            <w:r w:rsidRPr="00B44463">
              <w:rPr>
                <w:rFonts w:ascii="Times New Roman" w:eastAsia="Times New Roman" w:hAnsi="Times New Roman" w:cs="Times New Roman"/>
                <w:color w:val="000000"/>
                <w:sz w:val="20"/>
                <w:lang w:val="en-US"/>
              </w:rPr>
              <w:t>Year</w:t>
            </w:r>
          </w:p>
        </w:tc>
        <w:tc>
          <w:tcPr>
            <w:tcW w:w="3744" w:type="dxa"/>
            <w:tcBorders>
              <w:left w:val="nil"/>
              <w:bottom w:val="single" w:sz="4" w:space="0" w:color="auto"/>
              <w:right w:val="nil"/>
            </w:tcBorders>
            <w:shd w:val="clear" w:color="auto" w:fill="auto"/>
          </w:tcPr>
          <w:p w14:paraId="695CF7FD" w14:textId="77777777" w:rsidR="001C5609" w:rsidRPr="00526100" w:rsidRDefault="001C5609" w:rsidP="001C5609">
            <w:pPr>
              <w:spacing w:after="0" w:line="240" w:lineRule="auto"/>
              <w:jc w:val="cente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2010</w:t>
            </w:r>
          </w:p>
        </w:tc>
        <w:tc>
          <w:tcPr>
            <w:tcW w:w="3744" w:type="dxa"/>
            <w:tcBorders>
              <w:left w:val="nil"/>
              <w:bottom w:val="single" w:sz="4" w:space="0" w:color="auto"/>
              <w:right w:val="nil"/>
            </w:tcBorders>
            <w:shd w:val="clear" w:color="auto" w:fill="auto"/>
          </w:tcPr>
          <w:p w14:paraId="2EA28292" w14:textId="77777777" w:rsidR="001C5609" w:rsidRPr="00526100" w:rsidRDefault="001C5609" w:rsidP="001C5609">
            <w:pPr>
              <w:spacing w:after="0" w:line="240" w:lineRule="auto"/>
              <w:jc w:val="cente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2011</w:t>
            </w:r>
          </w:p>
        </w:tc>
        <w:tc>
          <w:tcPr>
            <w:tcW w:w="3744" w:type="dxa"/>
            <w:tcBorders>
              <w:left w:val="nil"/>
              <w:bottom w:val="single" w:sz="4" w:space="0" w:color="auto"/>
              <w:right w:val="nil"/>
            </w:tcBorders>
            <w:shd w:val="clear" w:color="auto" w:fill="auto"/>
          </w:tcPr>
          <w:p w14:paraId="2B77F6D4" w14:textId="77777777" w:rsidR="001C5609" w:rsidRPr="00526100" w:rsidRDefault="001C5609" w:rsidP="001C5609">
            <w:pPr>
              <w:spacing w:after="0" w:line="240" w:lineRule="auto"/>
              <w:jc w:val="cente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2018</w:t>
            </w:r>
          </w:p>
        </w:tc>
      </w:tr>
      <w:tr w:rsidR="001C5609" w:rsidRPr="00526100" w14:paraId="7D221C5F" w14:textId="77777777" w:rsidTr="001C5609">
        <w:trPr>
          <w:trHeight w:val="6380"/>
        </w:trPr>
        <w:tc>
          <w:tcPr>
            <w:tcW w:w="1440" w:type="dxa"/>
            <w:tcBorders>
              <w:top w:val="single" w:sz="4" w:space="0" w:color="auto"/>
              <w:left w:val="nil"/>
              <w:bottom w:val="single" w:sz="4" w:space="0" w:color="auto"/>
              <w:right w:val="nil"/>
            </w:tcBorders>
          </w:tcPr>
          <w:p w14:paraId="52D3AFB1" w14:textId="77777777" w:rsidR="001C5609" w:rsidRPr="004D6835" w:rsidRDefault="001C5609" w:rsidP="001C5609">
            <w:pPr>
              <w:rPr>
                <w:rFonts w:ascii="Times New Roman" w:eastAsia="Times New Roman" w:hAnsi="Times New Roman" w:cs="Times New Roman"/>
                <w:sz w:val="20"/>
                <w:lang w:val="en-US"/>
              </w:rPr>
            </w:pPr>
            <w:r>
              <w:rPr>
                <w:rFonts w:ascii="Times New Roman" w:eastAsia="Times New Roman" w:hAnsi="Times New Roman" w:cs="Times New Roman"/>
                <w:sz w:val="20"/>
                <w:lang w:val="en-US"/>
              </w:rPr>
              <w:t>Outcomes</w:t>
            </w:r>
          </w:p>
        </w:tc>
        <w:tc>
          <w:tcPr>
            <w:tcW w:w="3744" w:type="dxa"/>
            <w:tcBorders>
              <w:top w:val="single" w:sz="4" w:space="0" w:color="auto"/>
              <w:left w:val="nil"/>
              <w:bottom w:val="single" w:sz="4" w:space="0" w:color="auto"/>
              <w:right w:val="nil"/>
            </w:tcBorders>
            <w:shd w:val="clear" w:color="auto" w:fill="auto"/>
            <w:hideMark/>
          </w:tcPr>
          <w:p w14:paraId="1E07F145"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All EAPs call for</w:t>
            </w:r>
            <w:r w:rsidRPr="00526100">
              <w:rPr>
                <w:rFonts w:ascii="Times New Roman" w:eastAsia="Times New Roman" w:hAnsi="Times New Roman" w:cs="Times New Roman"/>
                <w:color w:val="000000"/>
                <w:sz w:val="20"/>
                <w:lang w:val="en-US"/>
              </w:rPr>
              <w:t xml:space="preserve"> </w:t>
            </w:r>
            <w:r>
              <w:rPr>
                <w:rFonts w:ascii="Times New Roman" w:eastAsia="Times New Roman" w:hAnsi="Times New Roman" w:cs="Times New Roman"/>
                <w:color w:val="000000"/>
                <w:sz w:val="20"/>
                <w:lang w:val="en-US"/>
              </w:rPr>
              <w:t>their user</w:t>
            </w:r>
            <w:r w:rsidRPr="00526100">
              <w:rPr>
                <w:rFonts w:ascii="Times New Roman" w:eastAsia="Times New Roman" w:hAnsi="Times New Roman" w:cs="Times New Roman"/>
                <w:color w:val="000000"/>
                <w:sz w:val="20"/>
                <w:lang w:val="en-US"/>
              </w:rPr>
              <w:t xml:space="preserve">s </w:t>
            </w:r>
            <w:r>
              <w:rPr>
                <w:rFonts w:ascii="Times New Roman" w:eastAsia="Times New Roman" w:hAnsi="Times New Roman" w:cs="Times New Roman"/>
                <w:color w:val="000000"/>
                <w:sz w:val="20"/>
                <w:lang w:val="en-US"/>
              </w:rPr>
              <w:t xml:space="preserve">to </w:t>
            </w:r>
            <w:r w:rsidRPr="00526100">
              <w:rPr>
                <w:rFonts w:ascii="Times New Roman" w:eastAsia="Times New Roman" w:hAnsi="Times New Roman" w:cs="Times New Roman"/>
                <w:color w:val="000000"/>
                <w:sz w:val="20"/>
                <w:lang w:val="en-US"/>
              </w:rPr>
              <w:t xml:space="preserve">access services via telephone intake. </w:t>
            </w:r>
          </w:p>
          <w:p w14:paraId="31BFA0FC"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18% reported using standard</w:t>
            </w:r>
            <w:r>
              <w:rPr>
                <w:rFonts w:ascii="Times New Roman" w:eastAsia="Times New Roman" w:hAnsi="Times New Roman" w:cs="Times New Roman"/>
                <w:color w:val="000000"/>
                <w:sz w:val="20"/>
                <w:lang w:val="en-US"/>
              </w:rPr>
              <w:t xml:space="preserve"> IPV screening questions, </w:t>
            </w:r>
            <w:r w:rsidRPr="00526100">
              <w:rPr>
                <w:rFonts w:ascii="Times New Roman" w:eastAsia="Times New Roman" w:hAnsi="Times New Roman" w:cs="Times New Roman"/>
                <w:color w:val="000000"/>
                <w:sz w:val="20"/>
                <w:lang w:val="en-US"/>
              </w:rPr>
              <w:t xml:space="preserve">76% reported that counsellors ask a range of screening questions to determine if someone is experiencing IPV. </w:t>
            </w:r>
          </w:p>
          <w:p w14:paraId="1F8FB0E0"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760 Women sampled had experienced IPV and contacted thei</w:t>
            </w:r>
            <w:r>
              <w:rPr>
                <w:rFonts w:ascii="Times New Roman" w:eastAsia="Times New Roman" w:hAnsi="Times New Roman" w:cs="Times New Roman"/>
                <w:color w:val="000000"/>
                <w:sz w:val="20"/>
                <w:lang w:val="en-US"/>
              </w:rPr>
              <w:t xml:space="preserve">r EAP; </w:t>
            </w:r>
            <w:r w:rsidRPr="00526100">
              <w:rPr>
                <w:rFonts w:ascii="Times New Roman" w:eastAsia="Times New Roman" w:hAnsi="Times New Roman" w:cs="Times New Roman"/>
                <w:color w:val="000000"/>
                <w:sz w:val="20"/>
                <w:lang w:val="en-US"/>
              </w:rPr>
              <w:t xml:space="preserve">66% of survey respondents reported being extremely or very satisfied with services received. </w:t>
            </w:r>
          </w:p>
          <w:p w14:paraId="6681463B"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Those who reported higher income were more likely to report being extremely or very satisfied with EAP IPV related services.</w:t>
            </w:r>
          </w:p>
          <w:p w14:paraId="087042DE"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 Challenges reported included difficulty identifying victims of IPV due to lack of standardized screening, or reluctance to disclose, concern about confidentiality on part of the individuals accessing their EAP, and a lack of providers with expertise in the area of IPV. </w:t>
            </w:r>
          </w:p>
          <w:p w14:paraId="55C1F4AC" w14:textId="77777777" w:rsidR="001C5609" w:rsidRPr="00526100" w:rsidRDefault="001C5609" w:rsidP="001C5609">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Lack of referrals for local IPV services was a barrier to seeking assistance. </w:t>
            </w:r>
          </w:p>
        </w:tc>
        <w:tc>
          <w:tcPr>
            <w:tcW w:w="3744" w:type="dxa"/>
            <w:tcBorders>
              <w:top w:val="single" w:sz="4" w:space="0" w:color="auto"/>
              <w:left w:val="nil"/>
              <w:bottom w:val="single" w:sz="4" w:space="0" w:color="auto"/>
              <w:right w:val="nil"/>
            </w:tcBorders>
            <w:shd w:val="clear" w:color="auto" w:fill="auto"/>
            <w:hideMark/>
          </w:tcPr>
          <w:p w14:paraId="0CD442E7"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No</w:t>
            </w:r>
            <w:r>
              <w:rPr>
                <w:rFonts w:ascii="Times New Roman" w:eastAsia="Times New Roman" w:hAnsi="Times New Roman" w:cs="Times New Roman"/>
                <w:color w:val="000000"/>
                <w:sz w:val="20"/>
                <w:lang w:val="en-US"/>
              </w:rPr>
              <w:t xml:space="preserve"> consensus reached between organizations on the</w:t>
            </w:r>
            <w:r w:rsidRPr="00526100">
              <w:rPr>
                <w:rFonts w:ascii="Times New Roman" w:eastAsia="Times New Roman" w:hAnsi="Times New Roman" w:cs="Times New Roman"/>
                <w:color w:val="000000"/>
                <w:sz w:val="20"/>
                <w:lang w:val="en-US"/>
              </w:rPr>
              <w:t xml:space="preserve"> d</w:t>
            </w:r>
            <w:r>
              <w:rPr>
                <w:rFonts w:ascii="Times New Roman" w:eastAsia="Times New Roman" w:hAnsi="Times New Roman" w:cs="Times New Roman"/>
                <w:color w:val="000000"/>
                <w:sz w:val="20"/>
                <w:lang w:val="en-US"/>
              </w:rPr>
              <w:t>efinition of employee wellness.</w:t>
            </w:r>
          </w:p>
          <w:p w14:paraId="46175848"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The main reaso</w:t>
            </w:r>
            <w:r>
              <w:rPr>
                <w:rFonts w:ascii="Times New Roman" w:eastAsia="Times New Roman" w:hAnsi="Times New Roman" w:cs="Times New Roman"/>
                <w:color w:val="000000"/>
                <w:sz w:val="20"/>
                <w:lang w:val="en-US"/>
              </w:rPr>
              <w:t>n to introduce a</w:t>
            </w:r>
            <w:r w:rsidR="00343429">
              <w:rPr>
                <w:rFonts w:ascii="Times New Roman" w:eastAsia="Times New Roman" w:hAnsi="Times New Roman" w:cs="Times New Roman"/>
                <w:color w:val="000000"/>
                <w:sz w:val="20"/>
                <w:lang w:val="en-US"/>
              </w:rPr>
              <w:t>n</w:t>
            </w:r>
            <w:r>
              <w:rPr>
                <w:rFonts w:ascii="Times New Roman" w:eastAsia="Times New Roman" w:hAnsi="Times New Roman" w:cs="Times New Roman"/>
                <w:color w:val="000000"/>
                <w:sz w:val="20"/>
                <w:lang w:val="en-US"/>
              </w:rPr>
              <w:t xml:space="preserve"> EWP was</w:t>
            </w:r>
            <w:r w:rsidRPr="00526100">
              <w:rPr>
                <w:rFonts w:ascii="Times New Roman" w:eastAsia="Times New Roman" w:hAnsi="Times New Roman" w:cs="Times New Roman"/>
                <w:color w:val="000000"/>
                <w:sz w:val="20"/>
                <w:lang w:val="en-US"/>
              </w:rPr>
              <w:t xml:space="preserve"> to address high sick leave, absenteeism and social responsibility. </w:t>
            </w:r>
          </w:p>
          <w:p w14:paraId="08A29D1F"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Organizations presented their results in house and did not use the results to attrac</w:t>
            </w:r>
            <w:r>
              <w:rPr>
                <w:rFonts w:ascii="Times New Roman" w:eastAsia="Times New Roman" w:hAnsi="Times New Roman" w:cs="Times New Roman"/>
                <w:color w:val="000000"/>
                <w:sz w:val="20"/>
                <w:lang w:val="en-US"/>
              </w:rPr>
              <w:t>t employees or stakeholders; v</w:t>
            </w:r>
            <w:r w:rsidRPr="00526100">
              <w:rPr>
                <w:rFonts w:ascii="Times New Roman" w:eastAsia="Times New Roman" w:hAnsi="Times New Roman" w:cs="Times New Roman"/>
                <w:color w:val="000000"/>
                <w:sz w:val="20"/>
                <w:lang w:val="en-US"/>
              </w:rPr>
              <w:t>ery few organizations objectively measured the success of their progr</w:t>
            </w:r>
            <w:r>
              <w:rPr>
                <w:rFonts w:ascii="Times New Roman" w:eastAsia="Times New Roman" w:hAnsi="Times New Roman" w:cs="Times New Roman"/>
                <w:color w:val="000000"/>
                <w:sz w:val="20"/>
                <w:lang w:val="en-US"/>
              </w:rPr>
              <w:t xml:space="preserve">ams. </w:t>
            </w:r>
          </w:p>
          <w:p w14:paraId="6172755E"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O</w:t>
            </w:r>
            <w:r w:rsidRPr="00526100">
              <w:rPr>
                <w:rFonts w:ascii="Times New Roman" w:eastAsia="Times New Roman" w:hAnsi="Times New Roman" w:cs="Times New Roman"/>
                <w:color w:val="000000"/>
                <w:sz w:val="20"/>
                <w:lang w:val="en-US"/>
              </w:rPr>
              <w:t>rganizations did not often or properly perform needs asses</w:t>
            </w:r>
            <w:r>
              <w:rPr>
                <w:rFonts w:ascii="Times New Roman" w:eastAsia="Times New Roman" w:hAnsi="Times New Roman" w:cs="Times New Roman"/>
                <w:color w:val="000000"/>
                <w:sz w:val="20"/>
                <w:lang w:val="en-US"/>
              </w:rPr>
              <w:t xml:space="preserve">sments with their employees. </w:t>
            </w:r>
          </w:p>
          <w:p w14:paraId="7F0D7F72" w14:textId="590D00EC" w:rsidR="001C5609" w:rsidRPr="00526100" w:rsidRDefault="001C5609" w:rsidP="001C5609">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Most EAP workers at these organizations felt supported by upper management</w:t>
            </w:r>
            <w:r w:rsidR="000D1DB5">
              <w:rPr>
                <w:rFonts w:ascii="Times New Roman" w:eastAsia="Times New Roman" w:hAnsi="Times New Roman" w:cs="Times New Roman"/>
                <w:color w:val="000000"/>
                <w:sz w:val="20"/>
                <w:lang w:val="en-US"/>
              </w:rPr>
              <w:t>.</w:t>
            </w:r>
          </w:p>
        </w:tc>
        <w:tc>
          <w:tcPr>
            <w:tcW w:w="3744" w:type="dxa"/>
            <w:tcBorders>
              <w:top w:val="single" w:sz="4" w:space="0" w:color="auto"/>
              <w:left w:val="nil"/>
              <w:bottom w:val="single" w:sz="4" w:space="0" w:color="auto"/>
              <w:right w:val="nil"/>
            </w:tcBorders>
            <w:shd w:val="clear" w:color="auto" w:fill="auto"/>
            <w:hideMark/>
          </w:tcPr>
          <w:p w14:paraId="43DF329F"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Most common reason for seeking counselling was family or relationship problems (68% MLFC, 74% OneSource), followed by stress, anxiety, or emotional problems (55% MFLC, 43% OneSource). </w:t>
            </w:r>
          </w:p>
          <w:p w14:paraId="64A5E17D"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Following counselling in both groups, self-rated severity of issues in family or relationship problems decreased significantly (32% to 3% for "severe" c</w:t>
            </w:r>
            <w:r>
              <w:rPr>
                <w:rFonts w:ascii="Times New Roman" w:eastAsia="Times New Roman" w:hAnsi="Times New Roman" w:cs="Times New Roman"/>
                <w:color w:val="000000"/>
                <w:sz w:val="20"/>
                <w:lang w:val="en-US"/>
              </w:rPr>
              <w:t xml:space="preserve">ases in MFLC, and 29% to 6% </w:t>
            </w:r>
            <w:r w:rsidRPr="00526100">
              <w:rPr>
                <w:rFonts w:ascii="Times New Roman" w:eastAsia="Times New Roman" w:hAnsi="Times New Roman" w:cs="Times New Roman"/>
                <w:color w:val="000000"/>
                <w:sz w:val="20"/>
                <w:lang w:val="en-US"/>
              </w:rPr>
              <w:t xml:space="preserve">in "severe" cases for OneSource in the short term. Similar numbers were maintained in the secondary follow up. </w:t>
            </w:r>
          </w:p>
          <w:p w14:paraId="4AC86F8C" w14:textId="77777777" w:rsidR="001C5609" w:rsidRDefault="001C5609" w:rsidP="001C5609">
            <w:pPr>
              <w:spacing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80% of MFLC users and 71% of OneSource users reported less frequent bouts of anxiety. </w:t>
            </w:r>
          </w:p>
          <w:p w14:paraId="066C205C" w14:textId="77777777" w:rsidR="001C5609" w:rsidRPr="00526100" w:rsidRDefault="001C5609" w:rsidP="001C5609">
            <w:pPr>
              <w:spacing w:after="0" w:line="240" w:lineRule="auto"/>
              <w:ind w:left="144" w:hanging="144"/>
              <w:rPr>
                <w:rFonts w:ascii="Times New Roman" w:eastAsia="Times New Roman" w:hAnsi="Times New Roman" w:cs="Times New Roman"/>
                <w:color w:val="000000"/>
                <w:sz w:val="20"/>
                <w:lang w:val="en-US"/>
              </w:rPr>
            </w:pPr>
            <w:r w:rsidRPr="00526100">
              <w:rPr>
                <w:rFonts w:ascii="Times New Roman" w:eastAsia="Times New Roman" w:hAnsi="Times New Roman" w:cs="Times New Roman"/>
                <w:color w:val="000000"/>
                <w:sz w:val="20"/>
                <w:lang w:val="en-US"/>
              </w:rPr>
              <w:t xml:space="preserve">Overall, 79% of participants in MFLC, and 65% of OneSource users said their problems improved in the short term. </w:t>
            </w:r>
          </w:p>
        </w:tc>
      </w:tr>
    </w:tbl>
    <w:p w14:paraId="20A75622" w14:textId="77777777" w:rsidR="007163F4" w:rsidRDefault="007163F4" w:rsidP="008654D6">
      <w:pPr>
        <w:rPr>
          <w:rFonts w:ascii="Times New Roman" w:hAnsi="Times New Roman" w:cs="Times New Roman"/>
          <w:sz w:val="24"/>
          <w:szCs w:val="24"/>
        </w:rPr>
      </w:pPr>
    </w:p>
    <w:p w14:paraId="4EA0264D" w14:textId="77777777" w:rsidR="00C8478E" w:rsidRDefault="00C8478E" w:rsidP="00C82D55">
      <w:pPr>
        <w:spacing w:line="480" w:lineRule="auto"/>
        <w:rPr>
          <w:rFonts w:ascii="Times New Roman" w:hAnsi="Times New Roman" w:cs="Times New Roman"/>
          <w:sz w:val="24"/>
          <w:szCs w:val="24"/>
        </w:rPr>
        <w:sectPr w:rsidR="00C8478E" w:rsidSect="00B44463">
          <w:pgSz w:w="15840" w:h="12240" w:orient="landscape"/>
          <w:pgMar w:top="1440" w:right="1440" w:bottom="1440" w:left="1440" w:header="720" w:footer="720" w:gutter="0"/>
          <w:cols w:space="720"/>
          <w:docGrid w:linePitch="360"/>
        </w:sectPr>
      </w:pPr>
    </w:p>
    <w:p w14:paraId="70EA2A8A" w14:textId="5F200FE0" w:rsidR="00FE1D1C" w:rsidRDefault="00F7177D" w:rsidP="00FE1D1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study was limited in its ability to offer clear areas where change is necessary to improve outcomes, or any solutions. There may be a need for more robust data collection methods that allow for deeper </w:t>
      </w:r>
      <w:r w:rsidR="00C922C4">
        <w:rPr>
          <w:rFonts w:ascii="Times New Roman" w:hAnsi="Times New Roman" w:cs="Times New Roman"/>
          <w:sz w:val="24"/>
          <w:szCs w:val="24"/>
        </w:rPr>
        <w:t xml:space="preserve">insight regarding the effectiveness and/or shortcomings of an EAP, and recommendations for improvements. In contrast, Csiernik et al. (2012) were able to identify that there is a need for greater resources to support workforce education initiatives and manager training within the Canadian public section EAP. Mugari et al. (2014) and Pollack et al. (2010) were also able to identify and describe existing barriers to service access that could then </w:t>
      </w:r>
      <w:r w:rsidR="00252144">
        <w:rPr>
          <w:rFonts w:ascii="Times New Roman" w:hAnsi="Times New Roman" w:cs="Times New Roman"/>
          <w:sz w:val="24"/>
          <w:szCs w:val="24"/>
        </w:rPr>
        <w:t xml:space="preserve">be acted upon and resolved by the EAP being evaluated. In reviews of the literature regarding EAP evaluations from past decades, process evaluation studies have included discussion of modifications made to EAPs as a result of the evaluation process (Csiernik, 2011). This was not </w:t>
      </w:r>
      <w:r w:rsidR="00B00851">
        <w:rPr>
          <w:rFonts w:ascii="Times New Roman" w:hAnsi="Times New Roman" w:cs="Times New Roman"/>
          <w:sz w:val="24"/>
          <w:szCs w:val="24"/>
        </w:rPr>
        <w:t>the case with the literature from this most recent decade, potentially indicative of a change in relationships between organizations whose EAPs are being evaluated and the researchers completing the evaluations.</w:t>
      </w:r>
    </w:p>
    <w:p w14:paraId="626EF6C7" w14:textId="77777777" w:rsidR="00B00851" w:rsidRPr="00D41809" w:rsidRDefault="001A026D" w:rsidP="001A026D">
      <w:pPr>
        <w:spacing w:line="480" w:lineRule="auto"/>
        <w:jc w:val="center"/>
        <w:rPr>
          <w:rFonts w:ascii="Times New Roman" w:hAnsi="Times New Roman" w:cs="Times New Roman"/>
          <w:b/>
          <w:bCs/>
          <w:sz w:val="24"/>
          <w:szCs w:val="24"/>
        </w:rPr>
      </w:pPr>
      <w:r w:rsidRPr="00D41809">
        <w:rPr>
          <w:rFonts w:ascii="Times New Roman" w:hAnsi="Times New Roman" w:cs="Times New Roman"/>
          <w:b/>
          <w:bCs/>
          <w:sz w:val="24"/>
          <w:szCs w:val="24"/>
        </w:rPr>
        <w:t xml:space="preserve">Discussion </w:t>
      </w:r>
    </w:p>
    <w:p w14:paraId="55FE19DE" w14:textId="4B75751E" w:rsidR="008D74F2" w:rsidRDefault="008D74F2" w:rsidP="008D74F2">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When Employee Assistance Programming was still only Welfare Capitalism it was </w:t>
      </w:r>
      <w:r w:rsidR="00AE7F1D">
        <w:rPr>
          <w:rFonts w:ascii="Times New Roman" w:hAnsi="Times New Roman" w:cs="Times New Roman"/>
          <w:sz w:val="24"/>
          <w:szCs w:val="24"/>
        </w:rPr>
        <w:t xml:space="preserve">already </w:t>
      </w:r>
      <w:r>
        <w:rPr>
          <w:rFonts w:ascii="Times New Roman" w:hAnsi="Times New Roman" w:cs="Times New Roman"/>
          <w:sz w:val="24"/>
          <w:szCs w:val="24"/>
        </w:rPr>
        <w:t xml:space="preserve">known </w:t>
      </w:r>
      <w:r w:rsidR="00AE7F1D">
        <w:rPr>
          <w:rFonts w:ascii="Times New Roman" w:hAnsi="Times New Roman" w:cs="Times New Roman"/>
          <w:sz w:val="24"/>
          <w:szCs w:val="24"/>
        </w:rPr>
        <w:t xml:space="preserve">that </w:t>
      </w:r>
      <w:r>
        <w:rPr>
          <w:rFonts w:ascii="Times New Roman" w:hAnsi="Times New Roman" w:cs="Times New Roman"/>
          <w:sz w:val="24"/>
          <w:szCs w:val="24"/>
        </w:rPr>
        <w:t>there was value to the initiative but what kind of value?  Evaluation studies are intended to be a systemic assessment of the merit of the time, resources</w:t>
      </w:r>
      <w:r w:rsidR="00AE7F1D">
        <w:rPr>
          <w:rFonts w:ascii="Times New Roman" w:hAnsi="Times New Roman" w:cs="Times New Roman"/>
          <w:sz w:val="24"/>
          <w:szCs w:val="24"/>
        </w:rPr>
        <w:t>,</w:t>
      </w:r>
      <w:r>
        <w:rPr>
          <w:rFonts w:ascii="Times New Roman" w:hAnsi="Times New Roman" w:cs="Times New Roman"/>
          <w:sz w:val="24"/>
          <w:szCs w:val="24"/>
        </w:rPr>
        <w:t xml:space="preserve"> and effort placed into achieving a goal.  This of course has always been the dilemma for occupational assistance programming for it has historically served competing stakeholder groups with different goals.  Is it a humanitarian effort to bring counselling to enhance employee</w:t>
      </w:r>
      <w:r w:rsidR="000D1DB5">
        <w:rPr>
          <w:rFonts w:ascii="Times New Roman" w:hAnsi="Times New Roman" w:cs="Times New Roman"/>
          <w:sz w:val="24"/>
          <w:szCs w:val="24"/>
        </w:rPr>
        <w:t>’</w:t>
      </w:r>
      <w:r>
        <w:rPr>
          <w:rFonts w:ascii="Times New Roman" w:hAnsi="Times New Roman" w:cs="Times New Roman"/>
          <w:sz w:val="24"/>
          <w:szCs w:val="24"/>
        </w:rPr>
        <w:t>s, and their families</w:t>
      </w:r>
      <w:r w:rsidR="00AE7F1D">
        <w:rPr>
          <w:rFonts w:ascii="Times New Roman" w:hAnsi="Times New Roman" w:cs="Times New Roman"/>
          <w:sz w:val="24"/>
          <w:szCs w:val="24"/>
        </w:rPr>
        <w:t>,</w:t>
      </w:r>
      <w:r>
        <w:rPr>
          <w:rFonts w:ascii="Times New Roman" w:hAnsi="Times New Roman" w:cs="Times New Roman"/>
          <w:sz w:val="24"/>
          <w:szCs w:val="24"/>
        </w:rPr>
        <w:t xml:space="preserve"> lives, or is it a cost-saving mechanism to decrease absenteeism, employee illness claims</w:t>
      </w:r>
      <w:r w:rsidR="00AE7F1D">
        <w:rPr>
          <w:rFonts w:ascii="Times New Roman" w:hAnsi="Times New Roman" w:cs="Times New Roman"/>
          <w:sz w:val="24"/>
          <w:szCs w:val="24"/>
        </w:rPr>
        <w:t>,</w:t>
      </w:r>
      <w:r>
        <w:rPr>
          <w:rFonts w:ascii="Times New Roman" w:hAnsi="Times New Roman" w:cs="Times New Roman"/>
          <w:sz w:val="24"/>
          <w:szCs w:val="24"/>
        </w:rPr>
        <w:t xml:space="preserve"> and workers’ compensation costs?  Based upon the evaluation studies published between 2010-2019</w:t>
      </w:r>
      <w:r w:rsidR="000D1DB5">
        <w:rPr>
          <w:rFonts w:ascii="Times New Roman" w:hAnsi="Times New Roman" w:cs="Times New Roman"/>
          <w:sz w:val="24"/>
          <w:szCs w:val="24"/>
        </w:rPr>
        <w:t>,</w:t>
      </w:r>
      <w:r>
        <w:rPr>
          <w:rFonts w:ascii="Times New Roman" w:hAnsi="Times New Roman" w:cs="Times New Roman"/>
          <w:sz w:val="24"/>
          <w:szCs w:val="24"/>
        </w:rPr>
        <w:t xml:space="preserve"> the answer is</w:t>
      </w:r>
      <w:r w:rsidR="00B127AC">
        <w:rPr>
          <w:rFonts w:ascii="Times New Roman" w:hAnsi="Times New Roman" w:cs="Times New Roman"/>
          <w:sz w:val="24"/>
          <w:szCs w:val="24"/>
        </w:rPr>
        <w:t xml:space="preserve"> yes</w:t>
      </w:r>
      <w:r w:rsidR="002B785A">
        <w:rPr>
          <w:rFonts w:ascii="Times New Roman" w:hAnsi="Times New Roman" w:cs="Times New Roman"/>
          <w:sz w:val="24"/>
          <w:szCs w:val="24"/>
        </w:rPr>
        <w:t>; to both.</w:t>
      </w:r>
    </w:p>
    <w:p w14:paraId="103330DE" w14:textId="4328F2DE" w:rsidR="000B4662" w:rsidRDefault="00570DBF" w:rsidP="000B4662">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B4662">
        <w:rPr>
          <w:rFonts w:ascii="Times New Roman" w:hAnsi="Times New Roman" w:cs="Times New Roman"/>
          <w:sz w:val="24"/>
          <w:szCs w:val="24"/>
        </w:rPr>
        <w:t xml:space="preserve">Among the 26 </w:t>
      </w:r>
      <w:r w:rsidR="00094C37">
        <w:rPr>
          <w:rFonts w:ascii="Times New Roman" w:hAnsi="Times New Roman" w:cs="Times New Roman"/>
          <w:sz w:val="24"/>
          <w:szCs w:val="24"/>
        </w:rPr>
        <w:t xml:space="preserve">peer-reviewed </w:t>
      </w:r>
      <w:r w:rsidRPr="000B4662">
        <w:rPr>
          <w:rFonts w:ascii="Times New Roman" w:hAnsi="Times New Roman" w:cs="Times New Roman"/>
          <w:sz w:val="24"/>
          <w:szCs w:val="24"/>
        </w:rPr>
        <w:t xml:space="preserve">evaluations </w:t>
      </w:r>
      <w:r w:rsidR="00F7177D">
        <w:rPr>
          <w:rFonts w:ascii="Times New Roman" w:hAnsi="Times New Roman" w:cs="Times New Roman"/>
          <w:sz w:val="24"/>
          <w:szCs w:val="24"/>
        </w:rPr>
        <w:t xml:space="preserve">published between 2010 and 2019 </w:t>
      </w:r>
      <w:r w:rsidRPr="000B4662">
        <w:rPr>
          <w:rFonts w:ascii="Times New Roman" w:hAnsi="Times New Roman" w:cs="Times New Roman"/>
          <w:sz w:val="24"/>
          <w:szCs w:val="24"/>
        </w:rPr>
        <w:t xml:space="preserve">there were examples from </w:t>
      </w:r>
      <w:r w:rsidR="000B4662" w:rsidRPr="000B4662">
        <w:rPr>
          <w:rFonts w:ascii="Times New Roman" w:hAnsi="Times New Roman" w:cs="Times New Roman"/>
          <w:sz w:val="24"/>
          <w:szCs w:val="24"/>
        </w:rPr>
        <w:t xml:space="preserve">nine </w:t>
      </w:r>
      <w:r w:rsidRPr="000B4662">
        <w:rPr>
          <w:rFonts w:ascii="Times New Roman" w:hAnsi="Times New Roman" w:cs="Times New Roman"/>
          <w:sz w:val="24"/>
          <w:szCs w:val="24"/>
        </w:rPr>
        <w:t xml:space="preserve">different </w:t>
      </w:r>
      <w:r w:rsidR="000B4662" w:rsidRPr="000B4662">
        <w:rPr>
          <w:rFonts w:ascii="Times New Roman" w:hAnsi="Times New Roman" w:cs="Times New Roman"/>
          <w:sz w:val="24"/>
          <w:szCs w:val="24"/>
        </w:rPr>
        <w:t xml:space="preserve">nations from </w:t>
      </w:r>
      <w:r w:rsidRPr="000B4662">
        <w:rPr>
          <w:rFonts w:ascii="Times New Roman" w:hAnsi="Times New Roman" w:cs="Times New Roman"/>
          <w:sz w:val="24"/>
          <w:szCs w:val="24"/>
        </w:rPr>
        <w:t xml:space="preserve">four continents.  </w:t>
      </w:r>
      <w:r w:rsidR="000B4662" w:rsidRPr="000B4662">
        <w:rPr>
          <w:rFonts w:ascii="Times New Roman" w:hAnsi="Times New Roman" w:cs="Times New Roman"/>
          <w:sz w:val="24"/>
          <w:szCs w:val="24"/>
        </w:rPr>
        <w:t>Peer-reviewed articles examined b</w:t>
      </w:r>
      <w:r w:rsidRPr="000B4662">
        <w:rPr>
          <w:rFonts w:ascii="Times New Roman" w:hAnsi="Times New Roman" w:cs="Times New Roman"/>
          <w:sz w:val="24"/>
          <w:szCs w:val="24"/>
        </w:rPr>
        <w:t xml:space="preserve">oth internal and external programs </w:t>
      </w:r>
      <w:r w:rsidR="000B4662" w:rsidRPr="000B4662">
        <w:rPr>
          <w:rFonts w:ascii="Times New Roman" w:hAnsi="Times New Roman" w:cs="Times New Roman"/>
          <w:sz w:val="24"/>
          <w:szCs w:val="24"/>
        </w:rPr>
        <w:t xml:space="preserve">along with </w:t>
      </w:r>
      <w:r w:rsidRPr="000B4662">
        <w:rPr>
          <w:rFonts w:ascii="Times New Roman" w:hAnsi="Times New Roman" w:cs="Times New Roman"/>
          <w:sz w:val="24"/>
          <w:szCs w:val="24"/>
        </w:rPr>
        <w:t>hybrid and peer counsel</w:t>
      </w:r>
      <w:r w:rsidR="000B4662" w:rsidRPr="000B4662">
        <w:rPr>
          <w:rFonts w:ascii="Times New Roman" w:hAnsi="Times New Roman" w:cs="Times New Roman"/>
          <w:sz w:val="24"/>
          <w:szCs w:val="24"/>
        </w:rPr>
        <w:t>l</w:t>
      </w:r>
      <w:r w:rsidRPr="000B4662">
        <w:rPr>
          <w:rFonts w:ascii="Times New Roman" w:hAnsi="Times New Roman" w:cs="Times New Roman"/>
          <w:sz w:val="24"/>
          <w:szCs w:val="24"/>
        </w:rPr>
        <w:t xml:space="preserve">or </w:t>
      </w:r>
      <w:r w:rsidR="00094C37">
        <w:rPr>
          <w:rFonts w:ascii="Times New Roman" w:hAnsi="Times New Roman" w:cs="Times New Roman"/>
          <w:sz w:val="24"/>
          <w:szCs w:val="24"/>
        </w:rPr>
        <w:t>initiatives</w:t>
      </w:r>
      <w:r w:rsidRPr="000B4662">
        <w:rPr>
          <w:rFonts w:ascii="Times New Roman" w:hAnsi="Times New Roman" w:cs="Times New Roman"/>
          <w:sz w:val="24"/>
          <w:szCs w:val="24"/>
        </w:rPr>
        <w:t xml:space="preserve">.  Multiple evaluative criteria were used </w:t>
      </w:r>
      <w:r w:rsidR="000B4662" w:rsidRPr="000B4662">
        <w:rPr>
          <w:rFonts w:ascii="Times New Roman" w:hAnsi="Times New Roman" w:cs="Times New Roman"/>
          <w:sz w:val="24"/>
          <w:szCs w:val="24"/>
        </w:rPr>
        <w:t xml:space="preserve">in the outcome and process </w:t>
      </w:r>
      <w:r w:rsidRPr="000B4662">
        <w:rPr>
          <w:rFonts w:ascii="Times New Roman" w:hAnsi="Times New Roman" w:cs="Times New Roman"/>
          <w:sz w:val="24"/>
          <w:szCs w:val="24"/>
        </w:rPr>
        <w:t xml:space="preserve">studies demonstrating a robustness of </w:t>
      </w:r>
      <w:r w:rsidR="000B4662" w:rsidRPr="000B4662">
        <w:rPr>
          <w:rFonts w:ascii="Times New Roman" w:hAnsi="Times New Roman" w:cs="Times New Roman"/>
          <w:sz w:val="24"/>
          <w:szCs w:val="24"/>
        </w:rPr>
        <w:t xml:space="preserve">collected </w:t>
      </w:r>
      <w:r w:rsidRPr="000B4662">
        <w:rPr>
          <w:rFonts w:ascii="Times New Roman" w:hAnsi="Times New Roman" w:cs="Times New Roman"/>
          <w:sz w:val="24"/>
          <w:szCs w:val="24"/>
        </w:rPr>
        <w:t>data</w:t>
      </w:r>
      <w:r w:rsidR="000B4662" w:rsidRPr="000B4662">
        <w:rPr>
          <w:rFonts w:ascii="Times New Roman" w:hAnsi="Times New Roman" w:cs="Times New Roman"/>
          <w:sz w:val="24"/>
          <w:szCs w:val="24"/>
        </w:rPr>
        <w:t>.</w:t>
      </w:r>
      <w:r w:rsidR="000B4662">
        <w:rPr>
          <w:rFonts w:ascii="Times New Roman" w:hAnsi="Times New Roman" w:cs="Times New Roman"/>
          <w:sz w:val="24"/>
          <w:szCs w:val="24"/>
        </w:rPr>
        <w:t xml:space="preserve"> </w:t>
      </w:r>
      <w:r w:rsidR="00B127AC">
        <w:rPr>
          <w:rFonts w:ascii="Times New Roman" w:hAnsi="Times New Roman" w:cs="Times New Roman"/>
          <w:sz w:val="24"/>
          <w:szCs w:val="24"/>
        </w:rPr>
        <w:t>The single published peer reviewed needs assessment, from Australia</w:t>
      </w:r>
      <w:r w:rsidR="000B4662">
        <w:rPr>
          <w:rFonts w:ascii="Times New Roman" w:hAnsi="Times New Roman" w:cs="Times New Roman"/>
          <w:sz w:val="24"/>
          <w:szCs w:val="24"/>
        </w:rPr>
        <w:t>,</w:t>
      </w:r>
      <w:r w:rsidR="00B127AC">
        <w:rPr>
          <w:rFonts w:ascii="Times New Roman" w:hAnsi="Times New Roman" w:cs="Times New Roman"/>
          <w:sz w:val="24"/>
          <w:szCs w:val="24"/>
        </w:rPr>
        <w:t xml:space="preserve"> was attempting to determine what type of EAP would aid with employee stress but likewise, </w:t>
      </w:r>
      <w:r w:rsidR="000B4662">
        <w:rPr>
          <w:rFonts w:ascii="Times New Roman" w:hAnsi="Times New Roman" w:cs="Times New Roman"/>
          <w:sz w:val="24"/>
          <w:szCs w:val="24"/>
        </w:rPr>
        <w:t xml:space="preserve">how best </w:t>
      </w:r>
      <w:r w:rsidR="00B127AC">
        <w:rPr>
          <w:rFonts w:ascii="Times New Roman" w:hAnsi="Times New Roman" w:cs="Times New Roman"/>
          <w:sz w:val="24"/>
          <w:szCs w:val="24"/>
        </w:rPr>
        <w:t>to decrease stress in order to address absenteeism.  The three case studies, from three different countries, Canada, South Africa, and Taiwan</w:t>
      </w:r>
      <w:r w:rsidR="000D1DB5">
        <w:rPr>
          <w:rFonts w:ascii="Times New Roman" w:hAnsi="Times New Roman" w:cs="Times New Roman"/>
          <w:sz w:val="24"/>
          <w:szCs w:val="24"/>
        </w:rPr>
        <w:t>,</w:t>
      </w:r>
      <w:r w:rsidR="00B127AC">
        <w:rPr>
          <w:rFonts w:ascii="Times New Roman" w:hAnsi="Times New Roman" w:cs="Times New Roman"/>
          <w:sz w:val="24"/>
          <w:szCs w:val="24"/>
        </w:rPr>
        <w:t xml:space="preserve"> discussed not only the development of the respective EAPs but also the rationale </w:t>
      </w:r>
      <w:r w:rsidR="00462F93">
        <w:rPr>
          <w:rFonts w:ascii="Times New Roman" w:hAnsi="Times New Roman" w:cs="Times New Roman"/>
          <w:sz w:val="24"/>
          <w:szCs w:val="24"/>
        </w:rPr>
        <w:t xml:space="preserve">for the programs </w:t>
      </w:r>
      <w:r w:rsidR="00B127AC">
        <w:rPr>
          <w:rFonts w:ascii="Times New Roman" w:hAnsi="Times New Roman" w:cs="Times New Roman"/>
          <w:sz w:val="24"/>
          <w:szCs w:val="24"/>
        </w:rPr>
        <w:t>which</w:t>
      </w:r>
      <w:r w:rsidR="000B4662">
        <w:rPr>
          <w:rFonts w:ascii="Times New Roman" w:hAnsi="Times New Roman" w:cs="Times New Roman"/>
          <w:sz w:val="24"/>
          <w:szCs w:val="24"/>
        </w:rPr>
        <w:t>,</w:t>
      </w:r>
      <w:r w:rsidR="00B127AC">
        <w:rPr>
          <w:rFonts w:ascii="Times New Roman" w:hAnsi="Times New Roman" w:cs="Times New Roman"/>
          <w:sz w:val="24"/>
          <w:szCs w:val="24"/>
        </w:rPr>
        <w:t xml:space="preserve"> in all three instances</w:t>
      </w:r>
      <w:r w:rsidR="000B4662">
        <w:rPr>
          <w:rFonts w:ascii="Times New Roman" w:hAnsi="Times New Roman" w:cs="Times New Roman"/>
          <w:sz w:val="24"/>
          <w:szCs w:val="24"/>
        </w:rPr>
        <w:t>,</w:t>
      </w:r>
      <w:r w:rsidR="00B127AC">
        <w:rPr>
          <w:rFonts w:ascii="Times New Roman" w:hAnsi="Times New Roman" w:cs="Times New Roman"/>
          <w:sz w:val="24"/>
          <w:szCs w:val="24"/>
        </w:rPr>
        <w:t xml:space="preserve"> </w:t>
      </w:r>
      <w:r w:rsidR="000B4662">
        <w:rPr>
          <w:rFonts w:ascii="Times New Roman" w:hAnsi="Times New Roman" w:cs="Times New Roman"/>
          <w:sz w:val="24"/>
          <w:szCs w:val="24"/>
        </w:rPr>
        <w:t xml:space="preserve">examined </w:t>
      </w:r>
      <w:r w:rsidR="00B127AC">
        <w:rPr>
          <w:rFonts w:ascii="Times New Roman" w:hAnsi="Times New Roman" w:cs="Times New Roman"/>
          <w:sz w:val="24"/>
          <w:szCs w:val="24"/>
        </w:rPr>
        <w:t>how the EAP served or could better serve employee needs within th</w:t>
      </w:r>
      <w:r w:rsidR="000B4662">
        <w:rPr>
          <w:rFonts w:ascii="Times New Roman" w:hAnsi="Times New Roman" w:cs="Times New Roman"/>
          <w:sz w:val="24"/>
          <w:szCs w:val="24"/>
        </w:rPr>
        <w:t>r</w:t>
      </w:r>
      <w:r w:rsidR="00B127AC">
        <w:rPr>
          <w:rFonts w:ascii="Times New Roman" w:hAnsi="Times New Roman" w:cs="Times New Roman"/>
          <w:sz w:val="24"/>
          <w:szCs w:val="24"/>
        </w:rPr>
        <w:t>e</w:t>
      </w:r>
      <w:r w:rsidR="000B4662">
        <w:rPr>
          <w:rFonts w:ascii="Times New Roman" w:hAnsi="Times New Roman" w:cs="Times New Roman"/>
          <w:sz w:val="24"/>
          <w:szCs w:val="24"/>
        </w:rPr>
        <w:t>e</w:t>
      </w:r>
      <w:r w:rsidR="00B127AC">
        <w:rPr>
          <w:rFonts w:ascii="Times New Roman" w:hAnsi="Times New Roman" w:cs="Times New Roman"/>
          <w:sz w:val="24"/>
          <w:szCs w:val="24"/>
        </w:rPr>
        <w:t xml:space="preserve"> different sectors: education, </w:t>
      </w:r>
      <w:r w:rsidR="000B4662">
        <w:rPr>
          <w:rFonts w:ascii="Times New Roman" w:hAnsi="Times New Roman" w:cs="Times New Roman"/>
          <w:sz w:val="24"/>
          <w:szCs w:val="24"/>
        </w:rPr>
        <w:t xml:space="preserve">retail, </w:t>
      </w:r>
      <w:r w:rsidR="00B127AC">
        <w:rPr>
          <w:rFonts w:ascii="Times New Roman" w:hAnsi="Times New Roman" w:cs="Times New Roman"/>
          <w:sz w:val="24"/>
          <w:szCs w:val="24"/>
        </w:rPr>
        <w:t xml:space="preserve">and technology. </w:t>
      </w:r>
    </w:p>
    <w:p w14:paraId="16E6789C" w14:textId="14F9F66F" w:rsidR="000B4662" w:rsidRDefault="00AB62DA" w:rsidP="000B4662">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majority of the evaluations published </w:t>
      </w:r>
      <w:r w:rsidR="000B4662">
        <w:rPr>
          <w:rFonts w:ascii="Times New Roman" w:hAnsi="Times New Roman" w:cs="Times New Roman"/>
          <w:sz w:val="24"/>
          <w:szCs w:val="24"/>
        </w:rPr>
        <w:t xml:space="preserve">between 2010-2019 </w:t>
      </w:r>
      <w:r>
        <w:rPr>
          <w:rFonts w:ascii="Times New Roman" w:hAnsi="Times New Roman" w:cs="Times New Roman"/>
          <w:sz w:val="24"/>
          <w:szCs w:val="24"/>
        </w:rPr>
        <w:t xml:space="preserve">were outcome studies (57.7%). </w:t>
      </w:r>
      <w:r w:rsidR="00B127AC">
        <w:rPr>
          <w:rFonts w:ascii="Times New Roman" w:hAnsi="Times New Roman" w:cs="Times New Roman"/>
          <w:sz w:val="24"/>
          <w:szCs w:val="24"/>
        </w:rPr>
        <w:t xml:space="preserve">In contrast to the themes of the needs assessment and case studies, </w:t>
      </w:r>
      <w:r>
        <w:rPr>
          <w:rFonts w:ascii="Times New Roman" w:hAnsi="Times New Roman" w:cs="Times New Roman"/>
          <w:sz w:val="24"/>
          <w:szCs w:val="24"/>
        </w:rPr>
        <w:t xml:space="preserve">the focus of these 15 studies was </w:t>
      </w:r>
      <w:r w:rsidR="00570DBF">
        <w:rPr>
          <w:rFonts w:ascii="Times New Roman" w:hAnsi="Times New Roman" w:cs="Times New Roman"/>
          <w:sz w:val="24"/>
          <w:szCs w:val="24"/>
        </w:rPr>
        <w:t xml:space="preserve">not only on changes </w:t>
      </w:r>
      <w:r w:rsidR="00FB5199">
        <w:rPr>
          <w:rFonts w:ascii="Times New Roman" w:hAnsi="Times New Roman" w:cs="Times New Roman"/>
          <w:sz w:val="24"/>
          <w:szCs w:val="24"/>
        </w:rPr>
        <w:t xml:space="preserve">or potential changes </w:t>
      </w:r>
      <w:r w:rsidR="00570DBF">
        <w:rPr>
          <w:rFonts w:ascii="Times New Roman" w:hAnsi="Times New Roman" w:cs="Times New Roman"/>
          <w:sz w:val="24"/>
          <w:szCs w:val="24"/>
        </w:rPr>
        <w:t xml:space="preserve">employees experienced </w:t>
      </w:r>
      <w:r w:rsidR="00FB5199">
        <w:rPr>
          <w:rFonts w:ascii="Times New Roman" w:hAnsi="Times New Roman" w:cs="Times New Roman"/>
          <w:sz w:val="24"/>
          <w:szCs w:val="24"/>
        </w:rPr>
        <w:t xml:space="preserve">due to EAP involvement, </w:t>
      </w:r>
      <w:r w:rsidR="00570DBF">
        <w:rPr>
          <w:rFonts w:ascii="Times New Roman" w:hAnsi="Times New Roman" w:cs="Times New Roman"/>
          <w:sz w:val="24"/>
          <w:szCs w:val="24"/>
        </w:rPr>
        <w:t xml:space="preserve">but also on </w:t>
      </w:r>
      <w:r>
        <w:rPr>
          <w:rFonts w:ascii="Times New Roman" w:hAnsi="Times New Roman" w:cs="Times New Roman"/>
          <w:sz w:val="24"/>
          <w:szCs w:val="24"/>
        </w:rPr>
        <w:t xml:space="preserve">the amount of money each EAP was saving the organization.  This is of course </w:t>
      </w:r>
      <w:r w:rsidR="00FB5199">
        <w:rPr>
          <w:rFonts w:ascii="Times New Roman" w:hAnsi="Times New Roman" w:cs="Times New Roman"/>
          <w:sz w:val="24"/>
          <w:szCs w:val="24"/>
        </w:rPr>
        <w:t xml:space="preserve"> </w:t>
      </w:r>
      <w:r>
        <w:rPr>
          <w:rFonts w:ascii="Times New Roman" w:hAnsi="Times New Roman" w:cs="Times New Roman"/>
          <w:sz w:val="24"/>
          <w:szCs w:val="24"/>
        </w:rPr>
        <w:t xml:space="preserve">an important </w:t>
      </w:r>
      <w:r w:rsidR="000B4662">
        <w:rPr>
          <w:rFonts w:ascii="Times New Roman" w:hAnsi="Times New Roman" w:cs="Times New Roman"/>
          <w:sz w:val="24"/>
          <w:szCs w:val="24"/>
        </w:rPr>
        <w:t xml:space="preserve">consideration </w:t>
      </w:r>
      <w:r>
        <w:rPr>
          <w:rFonts w:ascii="Times New Roman" w:hAnsi="Times New Roman" w:cs="Times New Roman"/>
          <w:sz w:val="24"/>
          <w:szCs w:val="24"/>
        </w:rPr>
        <w:t xml:space="preserve">in that private sector organizations need to be profitable to exist whereas public service agencies need to be prudent with their expenditures given it is tax dollars that pay </w:t>
      </w:r>
      <w:r w:rsidR="000B4662">
        <w:rPr>
          <w:rFonts w:ascii="Times New Roman" w:hAnsi="Times New Roman" w:cs="Times New Roman"/>
          <w:sz w:val="24"/>
          <w:szCs w:val="24"/>
        </w:rPr>
        <w:t xml:space="preserve">for the program </w:t>
      </w:r>
      <w:r>
        <w:rPr>
          <w:rFonts w:ascii="Times New Roman" w:hAnsi="Times New Roman" w:cs="Times New Roman"/>
          <w:sz w:val="24"/>
          <w:szCs w:val="24"/>
        </w:rPr>
        <w:t xml:space="preserve">and thus there is </w:t>
      </w:r>
      <w:r w:rsidR="000B4662">
        <w:rPr>
          <w:rFonts w:ascii="Times New Roman" w:hAnsi="Times New Roman" w:cs="Times New Roman"/>
          <w:sz w:val="24"/>
          <w:szCs w:val="24"/>
        </w:rPr>
        <w:t xml:space="preserve">a need for </w:t>
      </w:r>
      <w:r>
        <w:rPr>
          <w:rFonts w:ascii="Times New Roman" w:hAnsi="Times New Roman" w:cs="Times New Roman"/>
          <w:sz w:val="24"/>
          <w:szCs w:val="24"/>
        </w:rPr>
        <w:t>public accountability.</w:t>
      </w:r>
      <w:r w:rsidR="00570DBF">
        <w:rPr>
          <w:rFonts w:ascii="Times New Roman" w:hAnsi="Times New Roman" w:cs="Times New Roman"/>
          <w:sz w:val="24"/>
          <w:szCs w:val="24"/>
        </w:rPr>
        <w:t xml:space="preserve">  </w:t>
      </w:r>
      <w:r w:rsidR="00FB5199">
        <w:rPr>
          <w:rFonts w:ascii="Times New Roman" w:hAnsi="Times New Roman" w:cs="Times New Roman"/>
          <w:sz w:val="24"/>
          <w:szCs w:val="24"/>
        </w:rPr>
        <w:t>Reported c</w:t>
      </w:r>
      <w:r w:rsidR="00570DBF">
        <w:rPr>
          <w:rFonts w:ascii="Times New Roman" w:hAnsi="Times New Roman" w:cs="Times New Roman"/>
          <w:sz w:val="24"/>
          <w:szCs w:val="24"/>
        </w:rPr>
        <w:t xml:space="preserve">ost savings </w:t>
      </w:r>
      <w:r w:rsidR="000B4662">
        <w:rPr>
          <w:rFonts w:ascii="Times New Roman" w:hAnsi="Times New Roman" w:cs="Times New Roman"/>
          <w:sz w:val="24"/>
          <w:szCs w:val="24"/>
        </w:rPr>
        <w:t xml:space="preserve">across the 15 evaluations </w:t>
      </w:r>
      <w:r w:rsidR="00570DBF">
        <w:rPr>
          <w:rFonts w:ascii="Times New Roman" w:hAnsi="Times New Roman" w:cs="Times New Roman"/>
          <w:sz w:val="24"/>
          <w:szCs w:val="24"/>
        </w:rPr>
        <w:t xml:space="preserve">ranged from modest, a 4.8% decrease in hours lost/month (Nunes et al, 2017) to a 43.6% decrease in absenteeism (Shar &amp; Lennox, 2014).  </w:t>
      </w:r>
    </w:p>
    <w:p w14:paraId="22ADC8D9" w14:textId="5E12E39B" w:rsidR="00B127AC" w:rsidRDefault="00570DBF" w:rsidP="000B4662">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Process recordings </w:t>
      </w:r>
      <w:r w:rsidR="000B4662">
        <w:rPr>
          <w:rFonts w:ascii="Times New Roman" w:hAnsi="Times New Roman" w:cs="Times New Roman"/>
          <w:sz w:val="24"/>
          <w:szCs w:val="24"/>
        </w:rPr>
        <w:t xml:space="preserve">tend to provide the most in depth </w:t>
      </w:r>
      <w:r w:rsidR="009A5AE0">
        <w:rPr>
          <w:rFonts w:ascii="Times New Roman" w:hAnsi="Times New Roman" w:cs="Times New Roman"/>
          <w:sz w:val="24"/>
          <w:szCs w:val="24"/>
        </w:rPr>
        <w:t xml:space="preserve">analysis </w:t>
      </w:r>
      <w:r w:rsidR="00010930">
        <w:rPr>
          <w:rFonts w:ascii="Times New Roman" w:hAnsi="Times New Roman" w:cs="Times New Roman"/>
          <w:sz w:val="24"/>
          <w:szCs w:val="24"/>
        </w:rPr>
        <w:t xml:space="preserve">typically employing triangulation to study the EAP.  However, with </w:t>
      </w:r>
      <w:r w:rsidR="009A5AE0">
        <w:rPr>
          <w:rFonts w:ascii="Times New Roman" w:hAnsi="Times New Roman" w:cs="Times New Roman"/>
          <w:sz w:val="24"/>
          <w:szCs w:val="24"/>
        </w:rPr>
        <w:t xml:space="preserve">the seven studies </w:t>
      </w:r>
      <w:r w:rsidR="00010930">
        <w:rPr>
          <w:rFonts w:ascii="Times New Roman" w:hAnsi="Times New Roman" w:cs="Times New Roman"/>
          <w:sz w:val="24"/>
          <w:szCs w:val="24"/>
        </w:rPr>
        <w:t xml:space="preserve">published between 2010-2019 four only used one methodological approach whereas two used two and one used four.  While </w:t>
      </w:r>
      <w:r w:rsidR="00010930">
        <w:rPr>
          <w:rFonts w:ascii="Times New Roman" w:hAnsi="Times New Roman" w:cs="Times New Roman"/>
          <w:sz w:val="24"/>
          <w:szCs w:val="24"/>
        </w:rPr>
        <w:lastRenderedPageBreak/>
        <w:t>three were cross-sectional studies</w:t>
      </w:r>
      <w:r w:rsidR="000D1DB5">
        <w:rPr>
          <w:rFonts w:ascii="Times New Roman" w:hAnsi="Times New Roman" w:cs="Times New Roman"/>
          <w:sz w:val="24"/>
          <w:szCs w:val="24"/>
        </w:rPr>
        <w:t>,</w:t>
      </w:r>
      <w:r w:rsidR="00010930">
        <w:rPr>
          <w:rFonts w:ascii="Times New Roman" w:hAnsi="Times New Roman" w:cs="Times New Roman"/>
          <w:sz w:val="24"/>
          <w:szCs w:val="24"/>
        </w:rPr>
        <w:t xml:space="preserve"> three were longitudinal in design</w:t>
      </w:r>
      <w:r w:rsidR="000D1DB5">
        <w:rPr>
          <w:rFonts w:ascii="Times New Roman" w:hAnsi="Times New Roman" w:cs="Times New Roman"/>
          <w:sz w:val="24"/>
          <w:szCs w:val="24"/>
        </w:rPr>
        <w:t>,</w:t>
      </w:r>
      <w:r w:rsidR="00010930">
        <w:rPr>
          <w:rFonts w:ascii="Times New Roman" w:hAnsi="Times New Roman" w:cs="Times New Roman"/>
          <w:sz w:val="24"/>
          <w:szCs w:val="24"/>
        </w:rPr>
        <w:t xml:space="preserve"> with all providing detailed insights into the program.</w:t>
      </w:r>
      <w:r w:rsidR="000B4662">
        <w:rPr>
          <w:rFonts w:ascii="Times New Roman" w:hAnsi="Times New Roman" w:cs="Times New Roman"/>
          <w:sz w:val="24"/>
          <w:szCs w:val="24"/>
        </w:rPr>
        <w:t xml:space="preserve"> </w:t>
      </w:r>
    </w:p>
    <w:p w14:paraId="7FFEEDF1" w14:textId="77777777" w:rsidR="000E6181" w:rsidRDefault="000E6181" w:rsidP="000E6181">
      <w:pPr>
        <w:spacing w:line="480" w:lineRule="auto"/>
        <w:rPr>
          <w:rFonts w:ascii="Times New Roman" w:hAnsi="Times New Roman" w:cs="Times New Roman"/>
          <w:sz w:val="24"/>
          <w:szCs w:val="24"/>
        </w:rPr>
      </w:pPr>
      <w:r>
        <w:rPr>
          <w:rFonts w:ascii="Times New Roman" w:hAnsi="Times New Roman" w:cs="Times New Roman"/>
          <w:sz w:val="24"/>
          <w:szCs w:val="24"/>
        </w:rPr>
        <w:tab/>
      </w:r>
      <w:r w:rsidR="00010930">
        <w:rPr>
          <w:rFonts w:ascii="Times New Roman" w:hAnsi="Times New Roman" w:cs="Times New Roman"/>
          <w:sz w:val="24"/>
          <w:szCs w:val="24"/>
        </w:rPr>
        <w:t>However, t</w:t>
      </w:r>
      <w:r>
        <w:rPr>
          <w:rFonts w:ascii="Times New Roman" w:hAnsi="Times New Roman" w:cs="Times New Roman"/>
          <w:sz w:val="24"/>
          <w:szCs w:val="24"/>
        </w:rPr>
        <w:t xml:space="preserve">his </w:t>
      </w:r>
      <w:r w:rsidR="00FB5199">
        <w:rPr>
          <w:rFonts w:ascii="Times New Roman" w:hAnsi="Times New Roman" w:cs="Times New Roman"/>
          <w:sz w:val="24"/>
          <w:szCs w:val="24"/>
        </w:rPr>
        <w:t xml:space="preserve">review </w:t>
      </w:r>
      <w:r>
        <w:rPr>
          <w:rFonts w:ascii="Times New Roman" w:hAnsi="Times New Roman" w:cs="Times New Roman"/>
          <w:sz w:val="24"/>
          <w:szCs w:val="24"/>
        </w:rPr>
        <w:t xml:space="preserve">does not only allow for an examination of evaluation over the past decade but also </w:t>
      </w:r>
      <w:r w:rsidR="00010930">
        <w:rPr>
          <w:rFonts w:ascii="Times New Roman" w:hAnsi="Times New Roman" w:cs="Times New Roman"/>
          <w:sz w:val="24"/>
          <w:szCs w:val="24"/>
        </w:rPr>
        <w:t xml:space="preserve">provides data that allows for </w:t>
      </w:r>
      <w:r>
        <w:rPr>
          <w:rFonts w:ascii="Times New Roman" w:hAnsi="Times New Roman" w:cs="Times New Roman"/>
          <w:sz w:val="24"/>
          <w:szCs w:val="24"/>
        </w:rPr>
        <w:t>an examination of published peer reviewed EAP evaluations over the past 40 years.  Table 5 adds the findings of this study to those summarized in Table 1 enabling us to examine trends across four decades as further illustrated in Figure 1.</w:t>
      </w:r>
      <w:r w:rsidRPr="000E6181">
        <w:rPr>
          <w:rFonts w:ascii="Times New Roman" w:hAnsi="Times New Roman" w:cs="Times New Roman"/>
          <w:sz w:val="24"/>
          <w:szCs w:val="24"/>
        </w:rPr>
        <w:t xml:space="preserve"> </w:t>
      </w:r>
    </w:p>
    <w:p w14:paraId="71FB30D5" w14:textId="77777777" w:rsidR="00010930" w:rsidRDefault="00010930" w:rsidP="000E6181">
      <w:pPr>
        <w:spacing w:line="480" w:lineRule="auto"/>
        <w:rPr>
          <w:rFonts w:ascii="Times New Roman" w:hAnsi="Times New Roman" w:cs="Times New Roman"/>
          <w:sz w:val="24"/>
          <w:szCs w:val="24"/>
        </w:rPr>
      </w:pPr>
    </w:p>
    <w:p w14:paraId="4C8D4600" w14:textId="77777777" w:rsidR="000E6181" w:rsidRPr="00343429" w:rsidRDefault="000E6181" w:rsidP="000E6181">
      <w:pPr>
        <w:spacing w:line="240" w:lineRule="auto"/>
        <w:rPr>
          <w:rFonts w:ascii="Times New Roman" w:hAnsi="Times New Roman" w:cs="Times New Roman"/>
          <w:iCs/>
          <w:sz w:val="24"/>
          <w:szCs w:val="24"/>
        </w:rPr>
      </w:pPr>
      <w:r>
        <w:rPr>
          <w:rFonts w:ascii="Times New Roman" w:hAnsi="Times New Roman" w:cs="Times New Roman"/>
          <w:sz w:val="24"/>
          <w:szCs w:val="24"/>
        </w:rPr>
        <w:t xml:space="preserve">Table 5: Types of Evaluation </w:t>
      </w:r>
      <w:r w:rsidRPr="00343429">
        <w:rPr>
          <w:rFonts w:ascii="Times New Roman" w:hAnsi="Times New Roman" w:cs="Times New Roman"/>
          <w:iCs/>
          <w:sz w:val="24"/>
          <w:szCs w:val="24"/>
        </w:rPr>
        <w:t>by Decade</w:t>
      </w:r>
      <w:r>
        <w:rPr>
          <w:rFonts w:ascii="Times New Roman" w:hAnsi="Times New Roman" w:cs="Times New Roman"/>
          <w:iCs/>
          <w:sz w:val="24"/>
          <w:szCs w:val="24"/>
        </w:rPr>
        <w:t>:  1980-1989 to 2010-2019</w:t>
      </w:r>
    </w:p>
    <w:tbl>
      <w:tblPr>
        <w:tblW w:w="6880" w:type="dxa"/>
        <w:tblLook w:val="04A0" w:firstRow="1" w:lastRow="0" w:firstColumn="1" w:lastColumn="0" w:noHBand="0" w:noVBand="1"/>
      </w:tblPr>
      <w:tblGrid>
        <w:gridCol w:w="2180"/>
        <w:gridCol w:w="1120"/>
        <w:gridCol w:w="1120"/>
        <w:gridCol w:w="1120"/>
        <w:gridCol w:w="1340"/>
      </w:tblGrid>
      <w:tr w:rsidR="000E6181" w:rsidRPr="000E6181" w14:paraId="0FCA69FC" w14:textId="77777777" w:rsidTr="000E6181">
        <w:trPr>
          <w:trHeight w:val="315"/>
        </w:trPr>
        <w:tc>
          <w:tcPr>
            <w:tcW w:w="2180" w:type="dxa"/>
            <w:tcBorders>
              <w:top w:val="nil"/>
              <w:left w:val="nil"/>
              <w:bottom w:val="single" w:sz="8" w:space="0" w:color="auto"/>
              <w:right w:val="nil"/>
            </w:tcBorders>
            <w:shd w:val="clear" w:color="auto" w:fill="auto"/>
            <w:noWrap/>
            <w:vAlign w:val="center"/>
            <w:hideMark/>
          </w:tcPr>
          <w:p w14:paraId="62C35A1F" w14:textId="77777777" w:rsidR="000E6181" w:rsidRPr="000E6181" w:rsidRDefault="000E6181" w:rsidP="000E6181">
            <w:pPr>
              <w:spacing w:after="0" w:line="240" w:lineRule="auto"/>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 </w:t>
            </w:r>
          </w:p>
        </w:tc>
        <w:tc>
          <w:tcPr>
            <w:tcW w:w="1120" w:type="dxa"/>
            <w:tcBorders>
              <w:top w:val="nil"/>
              <w:left w:val="nil"/>
              <w:bottom w:val="single" w:sz="8" w:space="0" w:color="auto"/>
              <w:right w:val="nil"/>
            </w:tcBorders>
            <w:shd w:val="clear" w:color="auto" w:fill="auto"/>
            <w:noWrap/>
            <w:vAlign w:val="center"/>
            <w:hideMark/>
          </w:tcPr>
          <w:p w14:paraId="7B653538"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eastAsia="en-CA"/>
              </w:rPr>
              <w:t>1980-1989</w:t>
            </w:r>
          </w:p>
        </w:tc>
        <w:tc>
          <w:tcPr>
            <w:tcW w:w="1120" w:type="dxa"/>
            <w:tcBorders>
              <w:top w:val="nil"/>
              <w:left w:val="nil"/>
              <w:bottom w:val="single" w:sz="8" w:space="0" w:color="auto"/>
              <w:right w:val="nil"/>
            </w:tcBorders>
            <w:shd w:val="clear" w:color="auto" w:fill="auto"/>
            <w:noWrap/>
            <w:vAlign w:val="center"/>
            <w:hideMark/>
          </w:tcPr>
          <w:p w14:paraId="74B79D00"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1990-1999</w:t>
            </w:r>
          </w:p>
        </w:tc>
        <w:tc>
          <w:tcPr>
            <w:tcW w:w="1120" w:type="dxa"/>
            <w:tcBorders>
              <w:top w:val="nil"/>
              <w:left w:val="nil"/>
              <w:bottom w:val="single" w:sz="8" w:space="0" w:color="auto"/>
              <w:right w:val="nil"/>
            </w:tcBorders>
            <w:shd w:val="clear" w:color="auto" w:fill="auto"/>
            <w:noWrap/>
            <w:vAlign w:val="center"/>
            <w:hideMark/>
          </w:tcPr>
          <w:p w14:paraId="430F0C59"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2000-2009</w:t>
            </w:r>
          </w:p>
        </w:tc>
        <w:tc>
          <w:tcPr>
            <w:tcW w:w="1340" w:type="dxa"/>
            <w:tcBorders>
              <w:top w:val="nil"/>
              <w:left w:val="nil"/>
              <w:bottom w:val="single" w:sz="8" w:space="0" w:color="auto"/>
              <w:right w:val="nil"/>
            </w:tcBorders>
            <w:shd w:val="clear" w:color="auto" w:fill="auto"/>
            <w:noWrap/>
            <w:vAlign w:val="center"/>
            <w:hideMark/>
          </w:tcPr>
          <w:p w14:paraId="33599C35"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2010-2019</w:t>
            </w:r>
          </w:p>
        </w:tc>
      </w:tr>
      <w:tr w:rsidR="000E6181" w:rsidRPr="000E6181" w14:paraId="13A4CE90" w14:textId="77777777" w:rsidTr="000E6181">
        <w:trPr>
          <w:trHeight w:val="300"/>
        </w:trPr>
        <w:tc>
          <w:tcPr>
            <w:tcW w:w="2180" w:type="dxa"/>
            <w:tcBorders>
              <w:top w:val="nil"/>
              <w:left w:val="nil"/>
              <w:bottom w:val="nil"/>
              <w:right w:val="nil"/>
            </w:tcBorders>
            <w:shd w:val="clear" w:color="auto" w:fill="auto"/>
            <w:noWrap/>
            <w:vAlign w:val="center"/>
            <w:hideMark/>
          </w:tcPr>
          <w:p w14:paraId="63509C05" w14:textId="77777777" w:rsidR="000E6181" w:rsidRPr="000E6181" w:rsidRDefault="000E6181" w:rsidP="000E6181">
            <w:pPr>
              <w:spacing w:after="0" w:line="240" w:lineRule="auto"/>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Needs Assessments</w:t>
            </w:r>
          </w:p>
        </w:tc>
        <w:tc>
          <w:tcPr>
            <w:tcW w:w="1120" w:type="dxa"/>
            <w:tcBorders>
              <w:top w:val="nil"/>
              <w:left w:val="nil"/>
              <w:bottom w:val="nil"/>
              <w:right w:val="nil"/>
            </w:tcBorders>
            <w:shd w:val="clear" w:color="auto" w:fill="auto"/>
            <w:noWrap/>
            <w:vAlign w:val="center"/>
            <w:hideMark/>
          </w:tcPr>
          <w:p w14:paraId="267E63DA"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eastAsia="en-CA"/>
              </w:rPr>
              <w:t>3</w:t>
            </w:r>
          </w:p>
        </w:tc>
        <w:tc>
          <w:tcPr>
            <w:tcW w:w="1120" w:type="dxa"/>
            <w:tcBorders>
              <w:top w:val="nil"/>
              <w:left w:val="nil"/>
              <w:bottom w:val="nil"/>
              <w:right w:val="nil"/>
            </w:tcBorders>
            <w:shd w:val="clear" w:color="auto" w:fill="auto"/>
            <w:noWrap/>
            <w:vAlign w:val="center"/>
            <w:hideMark/>
          </w:tcPr>
          <w:p w14:paraId="59C97B95"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4</w:t>
            </w:r>
          </w:p>
        </w:tc>
        <w:tc>
          <w:tcPr>
            <w:tcW w:w="1120" w:type="dxa"/>
            <w:tcBorders>
              <w:top w:val="nil"/>
              <w:left w:val="nil"/>
              <w:bottom w:val="nil"/>
              <w:right w:val="nil"/>
            </w:tcBorders>
            <w:shd w:val="clear" w:color="auto" w:fill="auto"/>
            <w:noWrap/>
            <w:vAlign w:val="center"/>
            <w:hideMark/>
          </w:tcPr>
          <w:p w14:paraId="2196F7B8"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2</w:t>
            </w:r>
          </w:p>
        </w:tc>
        <w:tc>
          <w:tcPr>
            <w:tcW w:w="1340" w:type="dxa"/>
            <w:tcBorders>
              <w:top w:val="nil"/>
              <w:left w:val="nil"/>
              <w:bottom w:val="nil"/>
              <w:right w:val="nil"/>
            </w:tcBorders>
            <w:shd w:val="clear" w:color="auto" w:fill="auto"/>
            <w:noWrap/>
            <w:vAlign w:val="center"/>
            <w:hideMark/>
          </w:tcPr>
          <w:p w14:paraId="37AA1999"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1</w:t>
            </w:r>
          </w:p>
        </w:tc>
      </w:tr>
      <w:tr w:rsidR="000E6181" w:rsidRPr="000E6181" w14:paraId="2C217238" w14:textId="77777777" w:rsidTr="000E6181">
        <w:trPr>
          <w:trHeight w:val="300"/>
        </w:trPr>
        <w:tc>
          <w:tcPr>
            <w:tcW w:w="2180" w:type="dxa"/>
            <w:tcBorders>
              <w:top w:val="nil"/>
              <w:left w:val="nil"/>
              <w:bottom w:val="nil"/>
              <w:right w:val="nil"/>
            </w:tcBorders>
            <w:shd w:val="clear" w:color="auto" w:fill="auto"/>
            <w:noWrap/>
            <w:vAlign w:val="center"/>
            <w:hideMark/>
          </w:tcPr>
          <w:p w14:paraId="349524D5" w14:textId="77777777" w:rsidR="000E6181" w:rsidRPr="000E6181" w:rsidRDefault="000E6181" w:rsidP="000E6181">
            <w:pPr>
              <w:spacing w:after="0" w:line="240" w:lineRule="auto"/>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Case Studies</w:t>
            </w:r>
          </w:p>
        </w:tc>
        <w:tc>
          <w:tcPr>
            <w:tcW w:w="1120" w:type="dxa"/>
            <w:tcBorders>
              <w:top w:val="nil"/>
              <w:left w:val="nil"/>
              <w:bottom w:val="nil"/>
              <w:right w:val="nil"/>
            </w:tcBorders>
            <w:shd w:val="clear" w:color="auto" w:fill="auto"/>
            <w:noWrap/>
            <w:vAlign w:val="center"/>
            <w:hideMark/>
          </w:tcPr>
          <w:p w14:paraId="58B2D3E6"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eastAsia="en-CA"/>
              </w:rPr>
              <w:t>4</w:t>
            </w:r>
          </w:p>
        </w:tc>
        <w:tc>
          <w:tcPr>
            <w:tcW w:w="1120" w:type="dxa"/>
            <w:tcBorders>
              <w:top w:val="nil"/>
              <w:left w:val="nil"/>
              <w:bottom w:val="nil"/>
              <w:right w:val="nil"/>
            </w:tcBorders>
            <w:shd w:val="clear" w:color="auto" w:fill="auto"/>
            <w:noWrap/>
            <w:vAlign w:val="center"/>
            <w:hideMark/>
          </w:tcPr>
          <w:p w14:paraId="5F77F432"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12</w:t>
            </w:r>
          </w:p>
        </w:tc>
        <w:tc>
          <w:tcPr>
            <w:tcW w:w="1120" w:type="dxa"/>
            <w:tcBorders>
              <w:top w:val="nil"/>
              <w:left w:val="nil"/>
              <w:bottom w:val="nil"/>
              <w:right w:val="nil"/>
            </w:tcBorders>
            <w:shd w:val="clear" w:color="auto" w:fill="auto"/>
            <w:noWrap/>
            <w:vAlign w:val="center"/>
            <w:hideMark/>
          </w:tcPr>
          <w:p w14:paraId="17E0139C"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21</w:t>
            </w:r>
          </w:p>
        </w:tc>
        <w:tc>
          <w:tcPr>
            <w:tcW w:w="1340" w:type="dxa"/>
            <w:tcBorders>
              <w:top w:val="nil"/>
              <w:left w:val="nil"/>
              <w:bottom w:val="nil"/>
              <w:right w:val="nil"/>
            </w:tcBorders>
            <w:shd w:val="clear" w:color="auto" w:fill="auto"/>
            <w:noWrap/>
            <w:vAlign w:val="center"/>
            <w:hideMark/>
          </w:tcPr>
          <w:p w14:paraId="0A5CFB4D"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3</w:t>
            </w:r>
          </w:p>
        </w:tc>
      </w:tr>
      <w:tr w:rsidR="000E6181" w:rsidRPr="000E6181" w14:paraId="12774543" w14:textId="77777777" w:rsidTr="000E6181">
        <w:trPr>
          <w:trHeight w:val="300"/>
        </w:trPr>
        <w:tc>
          <w:tcPr>
            <w:tcW w:w="2180" w:type="dxa"/>
            <w:tcBorders>
              <w:top w:val="nil"/>
              <w:left w:val="nil"/>
              <w:bottom w:val="nil"/>
              <w:right w:val="nil"/>
            </w:tcBorders>
            <w:shd w:val="clear" w:color="auto" w:fill="auto"/>
            <w:noWrap/>
            <w:vAlign w:val="center"/>
            <w:hideMark/>
          </w:tcPr>
          <w:p w14:paraId="1A279F7E" w14:textId="77777777" w:rsidR="000E6181" w:rsidRPr="000E6181" w:rsidRDefault="000E6181" w:rsidP="000E6181">
            <w:pPr>
              <w:spacing w:after="0" w:line="240" w:lineRule="auto"/>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Outcome Studies</w:t>
            </w:r>
          </w:p>
        </w:tc>
        <w:tc>
          <w:tcPr>
            <w:tcW w:w="1120" w:type="dxa"/>
            <w:tcBorders>
              <w:top w:val="nil"/>
              <w:left w:val="nil"/>
              <w:bottom w:val="nil"/>
              <w:right w:val="nil"/>
            </w:tcBorders>
            <w:shd w:val="clear" w:color="auto" w:fill="auto"/>
            <w:noWrap/>
            <w:vAlign w:val="center"/>
            <w:hideMark/>
          </w:tcPr>
          <w:p w14:paraId="7D1E73BF"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eastAsia="en-CA"/>
              </w:rPr>
              <w:t>7</w:t>
            </w:r>
          </w:p>
        </w:tc>
        <w:tc>
          <w:tcPr>
            <w:tcW w:w="1120" w:type="dxa"/>
            <w:tcBorders>
              <w:top w:val="nil"/>
              <w:left w:val="nil"/>
              <w:bottom w:val="nil"/>
              <w:right w:val="nil"/>
            </w:tcBorders>
            <w:shd w:val="clear" w:color="auto" w:fill="auto"/>
            <w:noWrap/>
            <w:vAlign w:val="center"/>
            <w:hideMark/>
          </w:tcPr>
          <w:p w14:paraId="144B5176"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14</w:t>
            </w:r>
          </w:p>
        </w:tc>
        <w:tc>
          <w:tcPr>
            <w:tcW w:w="1120" w:type="dxa"/>
            <w:tcBorders>
              <w:top w:val="nil"/>
              <w:left w:val="nil"/>
              <w:bottom w:val="nil"/>
              <w:right w:val="nil"/>
            </w:tcBorders>
            <w:shd w:val="clear" w:color="auto" w:fill="auto"/>
            <w:noWrap/>
            <w:vAlign w:val="center"/>
            <w:hideMark/>
          </w:tcPr>
          <w:p w14:paraId="2880E513"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10</w:t>
            </w:r>
          </w:p>
        </w:tc>
        <w:tc>
          <w:tcPr>
            <w:tcW w:w="1340" w:type="dxa"/>
            <w:tcBorders>
              <w:top w:val="nil"/>
              <w:left w:val="nil"/>
              <w:bottom w:val="nil"/>
              <w:right w:val="nil"/>
            </w:tcBorders>
            <w:shd w:val="clear" w:color="auto" w:fill="auto"/>
            <w:noWrap/>
            <w:vAlign w:val="center"/>
            <w:hideMark/>
          </w:tcPr>
          <w:p w14:paraId="73E0CF22"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15</w:t>
            </w:r>
          </w:p>
        </w:tc>
      </w:tr>
      <w:tr w:rsidR="000E6181" w:rsidRPr="000E6181" w14:paraId="3539FF0C" w14:textId="77777777" w:rsidTr="000E6181">
        <w:trPr>
          <w:trHeight w:val="315"/>
        </w:trPr>
        <w:tc>
          <w:tcPr>
            <w:tcW w:w="2180" w:type="dxa"/>
            <w:tcBorders>
              <w:top w:val="nil"/>
              <w:left w:val="nil"/>
              <w:bottom w:val="single" w:sz="8" w:space="0" w:color="auto"/>
              <w:right w:val="nil"/>
            </w:tcBorders>
            <w:shd w:val="clear" w:color="auto" w:fill="auto"/>
            <w:noWrap/>
            <w:vAlign w:val="center"/>
            <w:hideMark/>
          </w:tcPr>
          <w:p w14:paraId="04A8E333" w14:textId="77777777" w:rsidR="000E6181" w:rsidRPr="000E6181" w:rsidRDefault="000E6181" w:rsidP="000E6181">
            <w:pPr>
              <w:spacing w:after="0" w:line="240" w:lineRule="auto"/>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Process Evaluations</w:t>
            </w:r>
          </w:p>
        </w:tc>
        <w:tc>
          <w:tcPr>
            <w:tcW w:w="1120" w:type="dxa"/>
            <w:tcBorders>
              <w:top w:val="nil"/>
              <w:left w:val="nil"/>
              <w:bottom w:val="single" w:sz="8" w:space="0" w:color="auto"/>
              <w:right w:val="nil"/>
            </w:tcBorders>
            <w:shd w:val="clear" w:color="auto" w:fill="auto"/>
            <w:noWrap/>
            <w:vAlign w:val="center"/>
            <w:hideMark/>
          </w:tcPr>
          <w:p w14:paraId="5E20D66B"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eastAsia="en-CA"/>
              </w:rPr>
              <w:t>5</w:t>
            </w:r>
          </w:p>
        </w:tc>
        <w:tc>
          <w:tcPr>
            <w:tcW w:w="1120" w:type="dxa"/>
            <w:tcBorders>
              <w:top w:val="nil"/>
              <w:left w:val="nil"/>
              <w:bottom w:val="single" w:sz="8" w:space="0" w:color="auto"/>
              <w:right w:val="nil"/>
            </w:tcBorders>
            <w:shd w:val="clear" w:color="auto" w:fill="auto"/>
            <w:noWrap/>
            <w:vAlign w:val="center"/>
            <w:hideMark/>
          </w:tcPr>
          <w:p w14:paraId="2CCEBE3C"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9</w:t>
            </w:r>
          </w:p>
        </w:tc>
        <w:tc>
          <w:tcPr>
            <w:tcW w:w="1120" w:type="dxa"/>
            <w:tcBorders>
              <w:top w:val="nil"/>
              <w:left w:val="nil"/>
              <w:bottom w:val="single" w:sz="8" w:space="0" w:color="auto"/>
              <w:right w:val="nil"/>
            </w:tcBorders>
            <w:shd w:val="clear" w:color="auto" w:fill="auto"/>
            <w:noWrap/>
            <w:vAlign w:val="center"/>
            <w:hideMark/>
          </w:tcPr>
          <w:p w14:paraId="1264C4D6"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9</w:t>
            </w:r>
          </w:p>
        </w:tc>
        <w:tc>
          <w:tcPr>
            <w:tcW w:w="1340" w:type="dxa"/>
            <w:tcBorders>
              <w:top w:val="nil"/>
              <w:left w:val="nil"/>
              <w:bottom w:val="single" w:sz="8" w:space="0" w:color="auto"/>
              <w:right w:val="nil"/>
            </w:tcBorders>
            <w:shd w:val="clear" w:color="auto" w:fill="auto"/>
            <w:noWrap/>
            <w:vAlign w:val="center"/>
            <w:hideMark/>
          </w:tcPr>
          <w:p w14:paraId="3EE012B2"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7</w:t>
            </w:r>
          </w:p>
        </w:tc>
      </w:tr>
      <w:tr w:rsidR="000E6181" w:rsidRPr="000E6181" w14:paraId="534FFABF" w14:textId="77777777" w:rsidTr="000E6181">
        <w:trPr>
          <w:trHeight w:val="315"/>
        </w:trPr>
        <w:tc>
          <w:tcPr>
            <w:tcW w:w="2180" w:type="dxa"/>
            <w:tcBorders>
              <w:top w:val="nil"/>
              <w:left w:val="nil"/>
              <w:bottom w:val="single" w:sz="8" w:space="0" w:color="auto"/>
              <w:right w:val="nil"/>
            </w:tcBorders>
            <w:shd w:val="clear" w:color="auto" w:fill="auto"/>
            <w:noWrap/>
            <w:vAlign w:val="center"/>
            <w:hideMark/>
          </w:tcPr>
          <w:p w14:paraId="0CFA34AC" w14:textId="77777777" w:rsidR="000E6181" w:rsidRPr="000E6181" w:rsidRDefault="000E6181" w:rsidP="000E6181">
            <w:pPr>
              <w:spacing w:after="0" w:line="240" w:lineRule="auto"/>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Total:</w:t>
            </w:r>
          </w:p>
        </w:tc>
        <w:tc>
          <w:tcPr>
            <w:tcW w:w="1120" w:type="dxa"/>
            <w:tcBorders>
              <w:top w:val="nil"/>
              <w:left w:val="nil"/>
              <w:bottom w:val="single" w:sz="8" w:space="0" w:color="auto"/>
              <w:right w:val="nil"/>
            </w:tcBorders>
            <w:shd w:val="clear" w:color="auto" w:fill="auto"/>
            <w:noWrap/>
            <w:vAlign w:val="center"/>
            <w:hideMark/>
          </w:tcPr>
          <w:p w14:paraId="75C35EA2"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eastAsia="en-CA"/>
              </w:rPr>
              <w:t>19</w:t>
            </w:r>
          </w:p>
        </w:tc>
        <w:tc>
          <w:tcPr>
            <w:tcW w:w="1120" w:type="dxa"/>
            <w:tcBorders>
              <w:top w:val="nil"/>
              <w:left w:val="nil"/>
              <w:bottom w:val="single" w:sz="8" w:space="0" w:color="auto"/>
              <w:right w:val="nil"/>
            </w:tcBorders>
            <w:shd w:val="clear" w:color="auto" w:fill="auto"/>
            <w:noWrap/>
            <w:vAlign w:val="center"/>
            <w:hideMark/>
          </w:tcPr>
          <w:p w14:paraId="631256E0"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39</w:t>
            </w:r>
          </w:p>
        </w:tc>
        <w:tc>
          <w:tcPr>
            <w:tcW w:w="1120" w:type="dxa"/>
            <w:tcBorders>
              <w:top w:val="nil"/>
              <w:left w:val="nil"/>
              <w:bottom w:val="single" w:sz="8" w:space="0" w:color="auto"/>
              <w:right w:val="nil"/>
            </w:tcBorders>
            <w:shd w:val="clear" w:color="auto" w:fill="auto"/>
            <w:noWrap/>
            <w:vAlign w:val="center"/>
            <w:hideMark/>
          </w:tcPr>
          <w:p w14:paraId="519BAA1D"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42</w:t>
            </w:r>
          </w:p>
        </w:tc>
        <w:tc>
          <w:tcPr>
            <w:tcW w:w="1340" w:type="dxa"/>
            <w:tcBorders>
              <w:top w:val="nil"/>
              <w:left w:val="nil"/>
              <w:bottom w:val="single" w:sz="8" w:space="0" w:color="auto"/>
              <w:right w:val="nil"/>
            </w:tcBorders>
            <w:shd w:val="clear" w:color="auto" w:fill="auto"/>
            <w:noWrap/>
            <w:vAlign w:val="center"/>
            <w:hideMark/>
          </w:tcPr>
          <w:p w14:paraId="5BD9F319" w14:textId="77777777" w:rsidR="000E6181" w:rsidRPr="000E6181" w:rsidRDefault="000E6181" w:rsidP="000E6181">
            <w:pPr>
              <w:spacing w:after="0" w:line="240" w:lineRule="auto"/>
              <w:jc w:val="center"/>
              <w:rPr>
                <w:rFonts w:ascii="Times New Roman" w:eastAsia="Times New Roman" w:hAnsi="Times New Roman" w:cs="Times New Roman"/>
                <w:color w:val="000000"/>
                <w:sz w:val="20"/>
                <w:szCs w:val="20"/>
                <w:lang w:eastAsia="en-CA"/>
              </w:rPr>
            </w:pPr>
            <w:r w:rsidRPr="000E6181">
              <w:rPr>
                <w:rFonts w:ascii="Times New Roman" w:eastAsia="Times New Roman" w:hAnsi="Times New Roman" w:cs="Times New Roman"/>
                <w:color w:val="000000"/>
                <w:sz w:val="20"/>
                <w:szCs w:val="20"/>
                <w:lang w:val="en-US" w:eastAsia="en-CA"/>
              </w:rPr>
              <w:t>26</w:t>
            </w:r>
          </w:p>
        </w:tc>
      </w:tr>
    </w:tbl>
    <w:p w14:paraId="3E53441C" w14:textId="77777777" w:rsidR="000E6181" w:rsidRDefault="000E6181" w:rsidP="000E6181">
      <w:pPr>
        <w:spacing w:line="480" w:lineRule="auto"/>
        <w:rPr>
          <w:rFonts w:ascii="Times New Roman" w:hAnsi="Times New Roman" w:cs="Times New Roman"/>
          <w:sz w:val="24"/>
          <w:szCs w:val="24"/>
        </w:rPr>
      </w:pPr>
    </w:p>
    <w:p w14:paraId="1B68AE08" w14:textId="77777777" w:rsidR="000E6181" w:rsidRPr="00343429" w:rsidRDefault="000E6181" w:rsidP="000E6181">
      <w:pPr>
        <w:spacing w:line="240" w:lineRule="auto"/>
        <w:rPr>
          <w:rFonts w:ascii="Times New Roman" w:hAnsi="Times New Roman" w:cs="Times New Roman"/>
          <w:iCs/>
          <w:sz w:val="24"/>
          <w:szCs w:val="24"/>
        </w:rPr>
      </w:pPr>
      <w:r>
        <w:rPr>
          <w:rFonts w:ascii="Times New Roman" w:hAnsi="Times New Roman" w:cs="Times New Roman"/>
          <w:sz w:val="24"/>
          <w:szCs w:val="24"/>
        </w:rPr>
        <w:t xml:space="preserve">Figure 1: Types of Evaluation </w:t>
      </w:r>
      <w:r w:rsidRPr="00343429">
        <w:rPr>
          <w:rFonts w:ascii="Times New Roman" w:hAnsi="Times New Roman" w:cs="Times New Roman"/>
          <w:iCs/>
          <w:sz w:val="24"/>
          <w:szCs w:val="24"/>
        </w:rPr>
        <w:t>by Decade</w:t>
      </w:r>
      <w:r>
        <w:rPr>
          <w:rFonts w:ascii="Times New Roman" w:hAnsi="Times New Roman" w:cs="Times New Roman"/>
          <w:iCs/>
          <w:sz w:val="24"/>
          <w:szCs w:val="24"/>
        </w:rPr>
        <w:t>:  1980-1989 to 2010-2019</w:t>
      </w:r>
    </w:p>
    <w:p w14:paraId="19E923CD" w14:textId="77777777" w:rsidR="000E6181" w:rsidRDefault="000E6181" w:rsidP="000E6181">
      <w:pPr>
        <w:spacing w:line="480" w:lineRule="auto"/>
        <w:rPr>
          <w:rFonts w:ascii="Times New Roman" w:hAnsi="Times New Roman" w:cs="Times New Roman"/>
          <w:sz w:val="24"/>
          <w:szCs w:val="24"/>
        </w:rPr>
      </w:pPr>
      <w:r>
        <w:rPr>
          <w:noProof/>
          <w:lang w:val="en-US"/>
        </w:rPr>
        <w:drawing>
          <wp:inline distT="0" distB="0" distL="0" distR="0" wp14:anchorId="122B161F" wp14:editId="19FC4E33">
            <wp:extent cx="6057900" cy="3019425"/>
            <wp:effectExtent l="0" t="0" r="0" b="9525"/>
            <wp:docPr id="2" name="Chart 2">
              <a:extLst xmlns:a="http://schemas.openxmlformats.org/drawingml/2006/main">
                <a:ext uri="{FF2B5EF4-FFF2-40B4-BE49-F238E27FC236}">
                  <a16:creationId xmlns:a16="http://schemas.microsoft.com/office/drawing/2014/main" id="{479E6731-1888-4217-96B8-4161646781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0F4079" w14:textId="77777777" w:rsidR="00B127AC" w:rsidRDefault="00B127AC" w:rsidP="008D74F2">
      <w:pPr>
        <w:spacing w:before="240" w:line="480" w:lineRule="auto"/>
        <w:rPr>
          <w:rFonts w:ascii="Times New Roman" w:hAnsi="Times New Roman" w:cs="Times New Roman"/>
          <w:sz w:val="24"/>
          <w:szCs w:val="24"/>
        </w:rPr>
      </w:pPr>
    </w:p>
    <w:p w14:paraId="04292300" w14:textId="7590F090" w:rsidR="00010930" w:rsidRDefault="000E6181" w:rsidP="00010930">
      <w:pPr>
        <w:spacing w:line="480" w:lineRule="auto"/>
        <w:rPr>
          <w:rFonts w:ascii="Times New Roman" w:hAnsi="Times New Roman" w:cs="Times New Roman"/>
          <w:sz w:val="24"/>
          <w:szCs w:val="24"/>
        </w:rPr>
      </w:pPr>
      <w:r>
        <w:rPr>
          <w:rFonts w:ascii="Times New Roman" w:hAnsi="Times New Roman" w:cs="Times New Roman"/>
          <w:sz w:val="24"/>
          <w:szCs w:val="24"/>
        </w:rPr>
        <w:tab/>
      </w:r>
      <w:r w:rsidR="00010930">
        <w:rPr>
          <w:rFonts w:ascii="Times New Roman" w:hAnsi="Times New Roman" w:cs="Times New Roman"/>
          <w:sz w:val="24"/>
          <w:szCs w:val="24"/>
        </w:rPr>
        <w:t>The nascent nature of EAP evaluation during the 1980s is apparent from the table and figure.  This was followed by two decades of far more study though and</w:t>
      </w:r>
      <w:r w:rsidR="000D1DB5">
        <w:rPr>
          <w:rFonts w:ascii="Times New Roman" w:hAnsi="Times New Roman" w:cs="Times New Roman"/>
          <w:sz w:val="24"/>
          <w:szCs w:val="24"/>
        </w:rPr>
        <w:t>,</w:t>
      </w:r>
      <w:r w:rsidR="00010930">
        <w:rPr>
          <w:rFonts w:ascii="Times New Roman" w:hAnsi="Times New Roman" w:cs="Times New Roman"/>
          <w:sz w:val="24"/>
          <w:szCs w:val="24"/>
        </w:rPr>
        <w:t xml:space="preserve"> while the last decade has seen an o</w:t>
      </w:r>
      <w:r w:rsidR="00010930" w:rsidRPr="00D8761B">
        <w:rPr>
          <w:rFonts w:ascii="Times New Roman" w:hAnsi="Times New Roman" w:cs="Times New Roman"/>
          <w:sz w:val="24"/>
          <w:szCs w:val="24"/>
        </w:rPr>
        <w:t xml:space="preserve">verall decrease in the number of </w:t>
      </w:r>
      <w:r w:rsidR="00010930">
        <w:rPr>
          <w:rFonts w:ascii="Times New Roman" w:hAnsi="Times New Roman" w:cs="Times New Roman"/>
          <w:sz w:val="24"/>
          <w:szCs w:val="24"/>
        </w:rPr>
        <w:t xml:space="preserve">peer-reviewed published </w:t>
      </w:r>
      <w:r w:rsidR="00010930" w:rsidRPr="00D8761B">
        <w:rPr>
          <w:rFonts w:ascii="Times New Roman" w:hAnsi="Times New Roman" w:cs="Times New Roman"/>
          <w:sz w:val="24"/>
          <w:szCs w:val="24"/>
        </w:rPr>
        <w:t>evaluations</w:t>
      </w:r>
      <w:r w:rsidR="000D1DB5">
        <w:rPr>
          <w:rFonts w:ascii="Times New Roman" w:hAnsi="Times New Roman" w:cs="Times New Roman"/>
          <w:sz w:val="24"/>
          <w:szCs w:val="24"/>
        </w:rPr>
        <w:t>,</w:t>
      </w:r>
      <w:r w:rsidR="00010930" w:rsidRPr="00D8761B">
        <w:rPr>
          <w:rFonts w:ascii="Times New Roman" w:hAnsi="Times New Roman" w:cs="Times New Roman"/>
          <w:sz w:val="24"/>
          <w:szCs w:val="24"/>
        </w:rPr>
        <w:t xml:space="preserve"> th</w:t>
      </w:r>
      <w:r w:rsidR="00010930">
        <w:rPr>
          <w:rFonts w:ascii="Times New Roman" w:hAnsi="Times New Roman" w:cs="Times New Roman"/>
          <w:sz w:val="24"/>
          <w:szCs w:val="24"/>
        </w:rPr>
        <w:t>e number of more sophisticated outcome and process evaluations has remained relatively steady.  However, less than one evaluation per year in each category still speaks to the relative dearth of empirical information we have about the nature of Employee Assistance Programs.  While most evaluations were conducted by organizations with internal models between 2010 and 2019 (n=9)</w:t>
      </w:r>
      <w:r w:rsidR="000D1DB5">
        <w:rPr>
          <w:rFonts w:ascii="Times New Roman" w:hAnsi="Times New Roman" w:cs="Times New Roman"/>
          <w:sz w:val="24"/>
          <w:szCs w:val="24"/>
        </w:rPr>
        <w:t>,</w:t>
      </w:r>
      <w:r w:rsidR="00010930">
        <w:rPr>
          <w:rFonts w:ascii="Times New Roman" w:hAnsi="Times New Roman" w:cs="Times New Roman"/>
          <w:sz w:val="24"/>
          <w:szCs w:val="24"/>
        </w:rPr>
        <w:t xml:space="preserve"> for the first time in forty years they were not the majority as there were eight evaluations examining external EAPs and five that examined hybrid internal/external modals during this time period.  As well, this was the first time that there were as many international as American studies (n=13) with evaluations from </w:t>
      </w:r>
      <w:r w:rsidR="00383FA3">
        <w:rPr>
          <w:rFonts w:ascii="Times New Roman" w:hAnsi="Times New Roman" w:cs="Times New Roman"/>
          <w:sz w:val="24"/>
          <w:szCs w:val="24"/>
        </w:rPr>
        <w:t xml:space="preserve">a total of </w:t>
      </w:r>
      <w:r w:rsidR="00010930">
        <w:rPr>
          <w:rFonts w:ascii="Times New Roman" w:hAnsi="Times New Roman" w:cs="Times New Roman"/>
          <w:sz w:val="24"/>
          <w:szCs w:val="24"/>
        </w:rPr>
        <w:t>nine different nations being published in the peer</w:t>
      </w:r>
      <w:r w:rsidR="00383FA3">
        <w:rPr>
          <w:rFonts w:ascii="Times New Roman" w:hAnsi="Times New Roman" w:cs="Times New Roman"/>
          <w:sz w:val="24"/>
          <w:szCs w:val="24"/>
        </w:rPr>
        <w:t>-</w:t>
      </w:r>
      <w:r w:rsidR="00010930">
        <w:rPr>
          <w:rFonts w:ascii="Times New Roman" w:hAnsi="Times New Roman" w:cs="Times New Roman"/>
          <w:sz w:val="24"/>
          <w:szCs w:val="24"/>
        </w:rPr>
        <w:t>review</w:t>
      </w:r>
      <w:r w:rsidR="00383FA3">
        <w:rPr>
          <w:rFonts w:ascii="Times New Roman" w:hAnsi="Times New Roman" w:cs="Times New Roman"/>
          <w:sz w:val="24"/>
          <w:szCs w:val="24"/>
        </w:rPr>
        <w:t>ed</w:t>
      </w:r>
      <w:r w:rsidR="00010930">
        <w:rPr>
          <w:rFonts w:ascii="Times New Roman" w:hAnsi="Times New Roman" w:cs="Times New Roman"/>
          <w:sz w:val="24"/>
          <w:szCs w:val="24"/>
        </w:rPr>
        <w:t xml:space="preserve"> literature. What was also witnessed in this </w:t>
      </w:r>
      <w:r w:rsidR="00383FA3">
        <w:rPr>
          <w:rFonts w:ascii="Times New Roman" w:hAnsi="Times New Roman" w:cs="Times New Roman"/>
          <w:sz w:val="24"/>
          <w:szCs w:val="24"/>
        </w:rPr>
        <w:t xml:space="preserve">most recent </w:t>
      </w:r>
      <w:r w:rsidR="00010930">
        <w:rPr>
          <w:rFonts w:ascii="Times New Roman" w:hAnsi="Times New Roman" w:cs="Times New Roman"/>
          <w:sz w:val="24"/>
          <w:szCs w:val="24"/>
        </w:rPr>
        <w:t xml:space="preserve">era of evaluation was a greater use of standardized tests being employed to collect data led by a new instrument, the Workplace Outcome Suite, though several studies still did not use </w:t>
      </w:r>
      <w:r w:rsidR="00010930" w:rsidRPr="00F60D8C">
        <w:rPr>
          <w:rFonts w:ascii="Times New Roman" w:hAnsi="Times New Roman" w:cs="Times New Roman"/>
          <w:sz w:val="24"/>
          <w:szCs w:val="24"/>
        </w:rPr>
        <w:t xml:space="preserve">any </w:t>
      </w:r>
      <w:r w:rsidR="005A18B7">
        <w:rPr>
          <w:rFonts w:ascii="Times New Roman" w:hAnsi="Times New Roman" w:cs="Times New Roman"/>
          <w:sz w:val="24"/>
          <w:szCs w:val="24"/>
        </w:rPr>
        <w:t xml:space="preserve">form of </w:t>
      </w:r>
      <w:r w:rsidR="00010930" w:rsidRPr="00F60D8C">
        <w:rPr>
          <w:rFonts w:ascii="Times New Roman" w:hAnsi="Times New Roman" w:cs="Times New Roman"/>
          <w:sz w:val="24"/>
          <w:szCs w:val="24"/>
        </w:rPr>
        <w:t>standardized assessment tool</w:t>
      </w:r>
      <w:r w:rsidR="00010930">
        <w:rPr>
          <w:rFonts w:ascii="Times New Roman" w:hAnsi="Times New Roman" w:cs="Times New Roman"/>
          <w:sz w:val="24"/>
          <w:szCs w:val="24"/>
        </w:rPr>
        <w:t xml:space="preserve"> in their evaluation process. </w:t>
      </w:r>
    </w:p>
    <w:p w14:paraId="39305D97" w14:textId="62769EE2" w:rsidR="005A18B7" w:rsidRDefault="000E6181" w:rsidP="005A18B7">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do these </w:t>
      </w:r>
      <w:r w:rsidR="005A18B7">
        <w:rPr>
          <w:rFonts w:ascii="Times New Roman" w:hAnsi="Times New Roman" w:cs="Times New Roman"/>
          <w:sz w:val="24"/>
          <w:szCs w:val="24"/>
        </w:rPr>
        <w:t xml:space="preserve">new </w:t>
      </w:r>
      <w:r>
        <w:rPr>
          <w:rFonts w:ascii="Times New Roman" w:hAnsi="Times New Roman" w:cs="Times New Roman"/>
          <w:sz w:val="24"/>
          <w:szCs w:val="24"/>
        </w:rPr>
        <w:t xml:space="preserve">findings </w:t>
      </w:r>
      <w:r w:rsidR="005A18B7">
        <w:rPr>
          <w:rFonts w:ascii="Times New Roman" w:hAnsi="Times New Roman" w:cs="Times New Roman"/>
          <w:sz w:val="24"/>
          <w:szCs w:val="24"/>
        </w:rPr>
        <w:t xml:space="preserve">combined with previously published data tell </w:t>
      </w:r>
      <w:r>
        <w:rPr>
          <w:rFonts w:ascii="Times New Roman" w:hAnsi="Times New Roman" w:cs="Times New Roman"/>
          <w:sz w:val="24"/>
          <w:szCs w:val="24"/>
        </w:rPr>
        <w:t xml:space="preserve">us?  </w:t>
      </w:r>
      <w:r w:rsidR="005A18B7">
        <w:rPr>
          <w:rFonts w:ascii="Times New Roman" w:hAnsi="Times New Roman" w:cs="Times New Roman"/>
          <w:sz w:val="24"/>
          <w:szCs w:val="24"/>
        </w:rPr>
        <w:t>It is evident that t</w:t>
      </w:r>
      <w:r>
        <w:rPr>
          <w:rFonts w:ascii="Times New Roman" w:hAnsi="Times New Roman" w:cs="Times New Roman"/>
          <w:sz w:val="24"/>
          <w:szCs w:val="24"/>
        </w:rPr>
        <w:t xml:space="preserve">he Employee Assistance Programming field has changed dramatically </w:t>
      </w:r>
      <w:r w:rsidR="005A18B7">
        <w:rPr>
          <w:rFonts w:ascii="Times New Roman" w:hAnsi="Times New Roman" w:cs="Times New Roman"/>
          <w:sz w:val="24"/>
          <w:szCs w:val="24"/>
        </w:rPr>
        <w:t xml:space="preserve">since its evolution from Occupational Assistance Programming </w:t>
      </w:r>
      <w:r>
        <w:rPr>
          <w:rFonts w:ascii="Times New Roman" w:hAnsi="Times New Roman" w:cs="Times New Roman"/>
          <w:sz w:val="24"/>
          <w:szCs w:val="24"/>
        </w:rPr>
        <w:t xml:space="preserve">and this change </w:t>
      </w:r>
      <w:r w:rsidR="005A18B7">
        <w:rPr>
          <w:rFonts w:ascii="Times New Roman" w:hAnsi="Times New Roman" w:cs="Times New Roman"/>
          <w:sz w:val="24"/>
          <w:szCs w:val="24"/>
        </w:rPr>
        <w:t xml:space="preserve">is not just reflected in anecdotal information, but rather </w:t>
      </w:r>
      <w:r>
        <w:rPr>
          <w:rFonts w:ascii="Times New Roman" w:hAnsi="Times New Roman" w:cs="Times New Roman"/>
          <w:sz w:val="24"/>
          <w:szCs w:val="24"/>
        </w:rPr>
        <w:t xml:space="preserve">has been </w:t>
      </w:r>
      <w:r w:rsidR="005A18B7">
        <w:rPr>
          <w:rFonts w:ascii="Times New Roman" w:hAnsi="Times New Roman" w:cs="Times New Roman"/>
          <w:sz w:val="24"/>
          <w:szCs w:val="24"/>
        </w:rPr>
        <w:t xml:space="preserve">formally </w:t>
      </w:r>
      <w:r>
        <w:rPr>
          <w:rFonts w:ascii="Times New Roman" w:hAnsi="Times New Roman" w:cs="Times New Roman"/>
          <w:sz w:val="24"/>
          <w:szCs w:val="24"/>
        </w:rPr>
        <w:t xml:space="preserve">documented by </w:t>
      </w:r>
      <w:r w:rsidR="005A18B7">
        <w:rPr>
          <w:rFonts w:ascii="Times New Roman" w:hAnsi="Times New Roman" w:cs="Times New Roman"/>
          <w:sz w:val="24"/>
          <w:szCs w:val="24"/>
        </w:rPr>
        <w:t xml:space="preserve">dozens </w:t>
      </w:r>
      <w:r w:rsidR="00C977F4">
        <w:rPr>
          <w:rFonts w:ascii="Times New Roman" w:hAnsi="Times New Roman" w:cs="Times New Roman"/>
          <w:sz w:val="24"/>
          <w:szCs w:val="24"/>
        </w:rPr>
        <w:t xml:space="preserve">of </w:t>
      </w:r>
      <w:r>
        <w:rPr>
          <w:rFonts w:ascii="Times New Roman" w:hAnsi="Times New Roman" w:cs="Times New Roman"/>
          <w:sz w:val="24"/>
          <w:szCs w:val="24"/>
        </w:rPr>
        <w:t>evaluation</w:t>
      </w:r>
      <w:r w:rsidR="00C977F4">
        <w:rPr>
          <w:rFonts w:ascii="Times New Roman" w:hAnsi="Times New Roman" w:cs="Times New Roman"/>
          <w:sz w:val="24"/>
          <w:szCs w:val="24"/>
        </w:rPr>
        <w:t>s</w:t>
      </w:r>
      <w:r w:rsidR="005A18B7">
        <w:rPr>
          <w:rFonts w:ascii="Times New Roman" w:hAnsi="Times New Roman" w:cs="Times New Roman"/>
          <w:sz w:val="24"/>
          <w:szCs w:val="24"/>
        </w:rPr>
        <w:t xml:space="preserve"> over 40 years</w:t>
      </w:r>
      <w:r>
        <w:rPr>
          <w:rFonts w:ascii="Times New Roman" w:hAnsi="Times New Roman" w:cs="Times New Roman"/>
          <w:sz w:val="24"/>
          <w:szCs w:val="24"/>
        </w:rPr>
        <w:t xml:space="preserve">.  </w:t>
      </w:r>
      <w:r w:rsidR="005A18B7">
        <w:rPr>
          <w:rFonts w:ascii="Times New Roman" w:hAnsi="Times New Roman" w:cs="Times New Roman"/>
          <w:sz w:val="24"/>
          <w:szCs w:val="24"/>
        </w:rPr>
        <w:t>Thus, w</w:t>
      </w:r>
      <w:r>
        <w:rPr>
          <w:rFonts w:ascii="Times New Roman" w:hAnsi="Times New Roman" w:cs="Times New Roman"/>
          <w:sz w:val="24"/>
          <w:szCs w:val="24"/>
        </w:rPr>
        <w:t xml:space="preserve">e have a </w:t>
      </w:r>
      <w:r w:rsidR="005A18B7">
        <w:rPr>
          <w:rFonts w:ascii="Times New Roman" w:hAnsi="Times New Roman" w:cs="Times New Roman"/>
          <w:sz w:val="24"/>
          <w:szCs w:val="24"/>
        </w:rPr>
        <w:t xml:space="preserve">rich </w:t>
      </w:r>
      <w:r>
        <w:rPr>
          <w:rFonts w:ascii="Times New Roman" w:hAnsi="Times New Roman" w:cs="Times New Roman"/>
          <w:sz w:val="24"/>
          <w:szCs w:val="24"/>
        </w:rPr>
        <w:t xml:space="preserve">history of programs and what they have, and </w:t>
      </w:r>
      <w:r w:rsidR="005A18B7">
        <w:rPr>
          <w:rFonts w:ascii="Times New Roman" w:hAnsi="Times New Roman" w:cs="Times New Roman"/>
          <w:sz w:val="24"/>
          <w:szCs w:val="24"/>
        </w:rPr>
        <w:t xml:space="preserve">in part, </w:t>
      </w:r>
      <w:r>
        <w:rPr>
          <w:rFonts w:ascii="Times New Roman" w:hAnsi="Times New Roman" w:cs="Times New Roman"/>
          <w:sz w:val="24"/>
          <w:szCs w:val="24"/>
        </w:rPr>
        <w:t xml:space="preserve">have not provided employees.  We have a </w:t>
      </w:r>
      <w:r w:rsidR="005A18B7">
        <w:rPr>
          <w:rFonts w:ascii="Times New Roman" w:hAnsi="Times New Roman" w:cs="Times New Roman"/>
          <w:sz w:val="24"/>
          <w:szCs w:val="24"/>
        </w:rPr>
        <w:t xml:space="preserve">robust empirical </w:t>
      </w:r>
      <w:r>
        <w:rPr>
          <w:rFonts w:ascii="Times New Roman" w:hAnsi="Times New Roman" w:cs="Times New Roman"/>
          <w:sz w:val="24"/>
          <w:szCs w:val="24"/>
        </w:rPr>
        <w:t xml:space="preserve">history indicating that EAP </w:t>
      </w:r>
      <w:r w:rsidR="00E24658">
        <w:rPr>
          <w:rFonts w:ascii="Times New Roman" w:hAnsi="Times New Roman" w:cs="Times New Roman"/>
          <w:sz w:val="24"/>
          <w:szCs w:val="24"/>
        </w:rPr>
        <w:t xml:space="preserve">enhances </w:t>
      </w:r>
      <w:r>
        <w:rPr>
          <w:rFonts w:ascii="Times New Roman" w:hAnsi="Times New Roman" w:cs="Times New Roman"/>
          <w:sz w:val="24"/>
          <w:szCs w:val="24"/>
        </w:rPr>
        <w:t xml:space="preserve"> </w:t>
      </w:r>
      <w:r w:rsidR="00C977F4">
        <w:rPr>
          <w:rFonts w:ascii="Times New Roman" w:hAnsi="Times New Roman" w:cs="Times New Roman"/>
          <w:sz w:val="24"/>
          <w:szCs w:val="24"/>
        </w:rPr>
        <w:t xml:space="preserve">not only two </w:t>
      </w:r>
      <w:r w:rsidR="00E24658">
        <w:rPr>
          <w:rFonts w:ascii="Times New Roman" w:hAnsi="Times New Roman" w:cs="Times New Roman"/>
          <w:sz w:val="24"/>
          <w:szCs w:val="24"/>
        </w:rPr>
        <w:t>constituencies</w:t>
      </w:r>
      <w:r w:rsidR="00C977F4">
        <w:rPr>
          <w:rFonts w:ascii="Times New Roman" w:hAnsi="Times New Roman" w:cs="Times New Roman"/>
          <w:sz w:val="24"/>
          <w:szCs w:val="24"/>
        </w:rPr>
        <w:t>, the organization and its public or private responsibilities, and employees</w:t>
      </w:r>
      <w:r w:rsidR="00383FA3">
        <w:rPr>
          <w:rFonts w:ascii="Times New Roman" w:hAnsi="Times New Roman" w:cs="Times New Roman"/>
          <w:sz w:val="24"/>
          <w:szCs w:val="24"/>
        </w:rPr>
        <w:t>,</w:t>
      </w:r>
      <w:r w:rsidR="00C977F4">
        <w:rPr>
          <w:rFonts w:ascii="Times New Roman" w:hAnsi="Times New Roman" w:cs="Times New Roman"/>
          <w:sz w:val="24"/>
          <w:szCs w:val="24"/>
        </w:rPr>
        <w:t xml:space="preserve"> but </w:t>
      </w:r>
      <w:r w:rsidR="005A18B7">
        <w:rPr>
          <w:rFonts w:ascii="Times New Roman" w:hAnsi="Times New Roman" w:cs="Times New Roman"/>
          <w:sz w:val="24"/>
          <w:szCs w:val="24"/>
        </w:rPr>
        <w:lastRenderedPageBreak/>
        <w:t>because of this intersection</w:t>
      </w:r>
      <w:r w:rsidR="000D1DB5">
        <w:rPr>
          <w:rFonts w:ascii="Times New Roman" w:hAnsi="Times New Roman" w:cs="Times New Roman"/>
          <w:sz w:val="24"/>
          <w:szCs w:val="24"/>
        </w:rPr>
        <w:t>,</w:t>
      </w:r>
      <w:r w:rsidR="005A18B7">
        <w:rPr>
          <w:rFonts w:ascii="Times New Roman" w:hAnsi="Times New Roman" w:cs="Times New Roman"/>
          <w:sz w:val="24"/>
          <w:szCs w:val="24"/>
        </w:rPr>
        <w:t xml:space="preserve"> EAPs </w:t>
      </w:r>
      <w:r w:rsidR="00C977F4">
        <w:rPr>
          <w:rFonts w:ascii="Times New Roman" w:hAnsi="Times New Roman" w:cs="Times New Roman"/>
          <w:sz w:val="24"/>
          <w:szCs w:val="24"/>
        </w:rPr>
        <w:t xml:space="preserve">also </w:t>
      </w:r>
      <w:r w:rsidR="005A18B7">
        <w:rPr>
          <w:rFonts w:ascii="Times New Roman" w:hAnsi="Times New Roman" w:cs="Times New Roman"/>
          <w:sz w:val="24"/>
          <w:szCs w:val="24"/>
        </w:rPr>
        <w:t>serve</w:t>
      </w:r>
      <w:r w:rsidR="00F7177D">
        <w:rPr>
          <w:rFonts w:ascii="Times New Roman" w:hAnsi="Times New Roman" w:cs="Times New Roman"/>
          <w:sz w:val="24"/>
          <w:szCs w:val="24"/>
        </w:rPr>
        <w:t>s a third;</w:t>
      </w:r>
      <w:r w:rsidR="005A18B7">
        <w:rPr>
          <w:rFonts w:ascii="Times New Roman" w:hAnsi="Times New Roman" w:cs="Times New Roman"/>
          <w:sz w:val="24"/>
          <w:szCs w:val="24"/>
        </w:rPr>
        <w:t xml:space="preserve"> our </w:t>
      </w:r>
      <w:r w:rsidR="00C977F4">
        <w:rPr>
          <w:rFonts w:ascii="Times New Roman" w:hAnsi="Times New Roman" w:cs="Times New Roman"/>
          <w:sz w:val="24"/>
          <w:szCs w:val="24"/>
        </w:rPr>
        <w:t>communit</w:t>
      </w:r>
      <w:r w:rsidR="005A18B7">
        <w:rPr>
          <w:rFonts w:ascii="Times New Roman" w:hAnsi="Times New Roman" w:cs="Times New Roman"/>
          <w:sz w:val="24"/>
          <w:szCs w:val="24"/>
        </w:rPr>
        <w:t>ies</w:t>
      </w:r>
      <w:r w:rsidR="00C977F4">
        <w:rPr>
          <w:rFonts w:ascii="Times New Roman" w:hAnsi="Times New Roman" w:cs="Times New Roman"/>
          <w:sz w:val="24"/>
          <w:szCs w:val="24"/>
        </w:rPr>
        <w:t xml:space="preserve">.  </w:t>
      </w:r>
      <w:r w:rsidR="00512C97">
        <w:rPr>
          <w:rFonts w:ascii="Times New Roman" w:hAnsi="Times New Roman" w:cs="Times New Roman"/>
          <w:sz w:val="24"/>
          <w:szCs w:val="24"/>
        </w:rPr>
        <w:t xml:space="preserve">The idea </w:t>
      </w:r>
      <w:r w:rsidR="00E24658">
        <w:rPr>
          <w:rFonts w:ascii="Times New Roman" w:hAnsi="Times New Roman" w:cs="Times New Roman"/>
          <w:sz w:val="24"/>
          <w:szCs w:val="24"/>
        </w:rPr>
        <w:t xml:space="preserve">of EAPs creating healthier communities has long been </w:t>
      </w:r>
      <w:r w:rsidR="009F4C13">
        <w:rPr>
          <w:rFonts w:ascii="Times New Roman" w:hAnsi="Times New Roman" w:cs="Times New Roman"/>
          <w:sz w:val="24"/>
          <w:szCs w:val="24"/>
        </w:rPr>
        <w:t>argued in Canada</w:t>
      </w:r>
      <w:r w:rsidR="00E24658">
        <w:rPr>
          <w:rFonts w:ascii="Times New Roman" w:hAnsi="Times New Roman" w:cs="Times New Roman"/>
          <w:sz w:val="24"/>
          <w:szCs w:val="24"/>
        </w:rPr>
        <w:t xml:space="preserve"> (Csiernik, 1993; 1998; </w:t>
      </w:r>
      <w:r w:rsidR="009F4C13">
        <w:rPr>
          <w:rFonts w:ascii="Times New Roman" w:hAnsi="Times New Roman" w:cs="Times New Roman"/>
          <w:sz w:val="24"/>
          <w:szCs w:val="24"/>
        </w:rPr>
        <w:t xml:space="preserve">Mental Health Commission of Canada, 2013; </w:t>
      </w:r>
      <w:r w:rsidR="00E24658">
        <w:rPr>
          <w:rFonts w:ascii="Times New Roman" w:hAnsi="Times New Roman" w:cs="Times New Roman"/>
          <w:sz w:val="24"/>
          <w:szCs w:val="24"/>
        </w:rPr>
        <w:t xml:space="preserve">Mowry, 1996; Shain 1986; Shain et al., 1989) </w:t>
      </w:r>
      <w:r w:rsidR="00512C97">
        <w:rPr>
          <w:rFonts w:ascii="Times New Roman" w:hAnsi="Times New Roman" w:cs="Times New Roman"/>
          <w:sz w:val="24"/>
          <w:szCs w:val="24"/>
        </w:rPr>
        <w:t xml:space="preserve"> </w:t>
      </w:r>
      <w:r w:rsidR="00C977F4">
        <w:rPr>
          <w:rFonts w:ascii="Times New Roman" w:hAnsi="Times New Roman" w:cs="Times New Roman"/>
          <w:sz w:val="24"/>
          <w:szCs w:val="24"/>
        </w:rPr>
        <w:t xml:space="preserve">The importance of </w:t>
      </w:r>
      <w:r w:rsidR="005A18B7">
        <w:rPr>
          <w:rFonts w:ascii="Times New Roman" w:hAnsi="Times New Roman" w:cs="Times New Roman"/>
          <w:sz w:val="24"/>
          <w:szCs w:val="24"/>
        </w:rPr>
        <w:t xml:space="preserve">and need for </w:t>
      </w:r>
      <w:r w:rsidR="00C977F4">
        <w:rPr>
          <w:rFonts w:ascii="Times New Roman" w:hAnsi="Times New Roman" w:cs="Times New Roman"/>
          <w:sz w:val="24"/>
          <w:szCs w:val="24"/>
        </w:rPr>
        <w:t>health</w:t>
      </w:r>
      <w:r w:rsidR="005A18B7">
        <w:rPr>
          <w:rFonts w:ascii="Times New Roman" w:hAnsi="Times New Roman" w:cs="Times New Roman"/>
          <w:sz w:val="24"/>
          <w:szCs w:val="24"/>
        </w:rPr>
        <w:t>y</w:t>
      </w:r>
      <w:r w:rsidR="00C977F4">
        <w:rPr>
          <w:rFonts w:ascii="Times New Roman" w:hAnsi="Times New Roman" w:cs="Times New Roman"/>
          <w:sz w:val="24"/>
          <w:szCs w:val="24"/>
        </w:rPr>
        <w:t xml:space="preserve"> communities has been further underscored in an incredible manner by the devastation COVID-19 brought to all three constituencies</w:t>
      </w:r>
      <w:r w:rsidR="005A18B7">
        <w:rPr>
          <w:rFonts w:ascii="Times New Roman" w:hAnsi="Times New Roman" w:cs="Times New Roman"/>
          <w:sz w:val="24"/>
          <w:szCs w:val="24"/>
        </w:rPr>
        <w:t xml:space="preserve"> w</w:t>
      </w:r>
      <w:r w:rsidR="00383FA3">
        <w:rPr>
          <w:rFonts w:ascii="Times New Roman" w:hAnsi="Times New Roman" w:cs="Times New Roman"/>
          <w:sz w:val="24"/>
          <w:szCs w:val="24"/>
        </w:rPr>
        <w:t xml:space="preserve">ho have </w:t>
      </w:r>
      <w:r w:rsidR="005A18B7">
        <w:rPr>
          <w:rFonts w:ascii="Times New Roman" w:hAnsi="Times New Roman" w:cs="Times New Roman"/>
          <w:sz w:val="24"/>
          <w:szCs w:val="24"/>
        </w:rPr>
        <w:t>a vested interest in EAP</w:t>
      </w:r>
      <w:r w:rsidR="00C977F4">
        <w:rPr>
          <w:rFonts w:ascii="Times New Roman" w:hAnsi="Times New Roman" w:cs="Times New Roman"/>
          <w:sz w:val="24"/>
          <w:szCs w:val="24"/>
        </w:rPr>
        <w:t xml:space="preserve">. </w:t>
      </w:r>
    </w:p>
    <w:p w14:paraId="0F83323D" w14:textId="0C66EBC7" w:rsidR="008D74F2" w:rsidRDefault="00C977F4" w:rsidP="005A18B7">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Where will EAPs evolve to in the future?  The evaluation literature indicates a growing global interest in knowing the effects</w:t>
      </w:r>
      <w:r w:rsidR="005A18B7">
        <w:rPr>
          <w:rFonts w:ascii="Times New Roman" w:hAnsi="Times New Roman" w:cs="Times New Roman"/>
          <w:sz w:val="24"/>
          <w:szCs w:val="24"/>
        </w:rPr>
        <w:t xml:space="preserve"> of program outcomes</w:t>
      </w:r>
      <w:r>
        <w:rPr>
          <w:rFonts w:ascii="Times New Roman" w:hAnsi="Times New Roman" w:cs="Times New Roman"/>
          <w:sz w:val="24"/>
          <w:szCs w:val="24"/>
        </w:rPr>
        <w:t xml:space="preserve">. </w:t>
      </w:r>
      <w:r w:rsidR="005A18B7">
        <w:rPr>
          <w:rFonts w:ascii="Times New Roman" w:hAnsi="Times New Roman" w:cs="Times New Roman"/>
          <w:sz w:val="24"/>
          <w:szCs w:val="24"/>
        </w:rPr>
        <w:t>As EAP becomes a mature field in North America</w:t>
      </w:r>
      <w:r w:rsidR="000D1DB5">
        <w:rPr>
          <w:rFonts w:ascii="Times New Roman" w:hAnsi="Times New Roman" w:cs="Times New Roman"/>
          <w:sz w:val="24"/>
          <w:szCs w:val="24"/>
        </w:rPr>
        <w:t>,</w:t>
      </w:r>
      <w:r w:rsidR="005A18B7">
        <w:rPr>
          <w:rFonts w:ascii="Times New Roman" w:hAnsi="Times New Roman" w:cs="Times New Roman"/>
          <w:sz w:val="24"/>
          <w:szCs w:val="24"/>
        </w:rPr>
        <w:t xml:space="preserve"> there remain many nations where it is just becoming established as highlighted by studies from Taiwan (2014), China (2015), and Bangladesh (2018).  </w:t>
      </w:r>
      <w:r w:rsidR="00F7177D">
        <w:rPr>
          <w:rFonts w:ascii="Times New Roman" w:hAnsi="Times New Roman" w:cs="Times New Roman"/>
          <w:sz w:val="24"/>
          <w:szCs w:val="24"/>
        </w:rPr>
        <w:t>Unfortunately, i</w:t>
      </w:r>
      <w:r w:rsidR="005A18B7">
        <w:rPr>
          <w:rFonts w:ascii="Times New Roman" w:hAnsi="Times New Roman" w:cs="Times New Roman"/>
          <w:sz w:val="24"/>
          <w:szCs w:val="24"/>
        </w:rPr>
        <w:t xml:space="preserve">t is most likely </w:t>
      </w:r>
      <w:r w:rsidR="00793BB3">
        <w:rPr>
          <w:rFonts w:ascii="Times New Roman" w:hAnsi="Times New Roman" w:cs="Times New Roman"/>
          <w:sz w:val="24"/>
          <w:szCs w:val="24"/>
        </w:rPr>
        <w:t xml:space="preserve">that going forward </w:t>
      </w:r>
      <w:r w:rsidR="005A18B7">
        <w:rPr>
          <w:rFonts w:ascii="Times New Roman" w:hAnsi="Times New Roman" w:cs="Times New Roman"/>
          <w:sz w:val="24"/>
          <w:szCs w:val="24"/>
        </w:rPr>
        <w:t>t</w:t>
      </w:r>
      <w:r>
        <w:rPr>
          <w:rFonts w:ascii="Times New Roman" w:hAnsi="Times New Roman" w:cs="Times New Roman"/>
          <w:sz w:val="24"/>
          <w:szCs w:val="24"/>
        </w:rPr>
        <w:t xml:space="preserve">here </w:t>
      </w:r>
      <w:r w:rsidR="005A18B7">
        <w:rPr>
          <w:rFonts w:ascii="Times New Roman" w:hAnsi="Times New Roman" w:cs="Times New Roman"/>
          <w:sz w:val="24"/>
          <w:szCs w:val="24"/>
        </w:rPr>
        <w:t xml:space="preserve">will </w:t>
      </w:r>
      <w:r w:rsidR="00793BB3">
        <w:rPr>
          <w:rFonts w:ascii="Times New Roman" w:hAnsi="Times New Roman" w:cs="Times New Roman"/>
          <w:sz w:val="24"/>
          <w:szCs w:val="24"/>
        </w:rPr>
        <w:t xml:space="preserve">still </w:t>
      </w:r>
      <w:r>
        <w:rPr>
          <w:rFonts w:ascii="Times New Roman" w:hAnsi="Times New Roman" w:cs="Times New Roman"/>
          <w:sz w:val="24"/>
          <w:szCs w:val="24"/>
        </w:rPr>
        <w:t xml:space="preserve">not be </w:t>
      </w:r>
      <w:r w:rsidR="00226F0C">
        <w:rPr>
          <w:rFonts w:ascii="Times New Roman" w:hAnsi="Times New Roman" w:cs="Times New Roman"/>
          <w:sz w:val="24"/>
          <w:szCs w:val="24"/>
        </w:rPr>
        <w:t xml:space="preserve">an adequate number of </w:t>
      </w:r>
      <w:r>
        <w:rPr>
          <w:rFonts w:ascii="Times New Roman" w:hAnsi="Times New Roman" w:cs="Times New Roman"/>
          <w:sz w:val="24"/>
          <w:szCs w:val="24"/>
        </w:rPr>
        <w:t xml:space="preserve">evaluations </w:t>
      </w:r>
      <w:r w:rsidR="00226F0C">
        <w:rPr>
          <w:rFonts w:ascii="Times New Roman" w:hAnsi="Times New Roman" w:cs="Times New Roman"/>
          <w:sz w:val="24"/>
          <w:szCs w:val="24"/>
        </w:rPr>
        <w:t xml:space="preserve">conducted </w:t>
      </w:r>
      <w:r>
        <w:rPr>
          <w:rFonts w:ascii="Times New Roman" w:hAnsi="Times New Roman" w:cs="Times New Roman"/>
          <w:sz w:val="24"/>
          <w:szCs w:val="24"/>
        </w:rPr>
        <w:t xml:space="preserve">to </w:t>
      </w:r>
      <w:r w:rsidR="00226F0C">
        <w:rPr>
          <w:rFonts w:ascii="Times New Roman" w:hAnsi="Times New Roman" w:cs="Times New Roman"/>
          <w:sz w:val="24"/>
          <w:szCs w:val="24"/>
        </w:rPr>
        <w:t xml:space="preserve">provide </w:t>
      </w:r>
      <w:r>
        <w:rPr>
          <w:rFonts w:ascii="Times New Roman" w:hAnsi="Times New Roman" w:cs="Times New Roman"/>
          <w:sz w:val="24"/>
          <w:szCs w:val="24"/>
        </w:rPr>
        <w:t xml:space="preserve">us </w:t>
      </w:r>
      <w:r w:rsidR="00226F0C">
        <w:rPr>
          <w:rFonts w:ascii="Times New Roman" w:hAnsi="Times New Roman" w:cs="Times New Roman"/>
          <w:sz w:val="24"/>
          <w:szCs w:val="24"/>
        </w:rPr>
        <w:t xml:space="preserve">with </w:t>
      </w:r>
      <w:r>
        <w:rPr>
          <w:rFonts w:ascii="Times New Roman" w:hAnsi="Times New Roman" w:cs="Times New Roman"/>
          <w:sz w:val="24"/>
          <w:szCs w:val="24"/>
        </w:rPr>
        <w:t xml:space="preserve">a comprehensive </w:t>
      </w:r>
      <w:r w:rsidR="005A18B7">
        <w:rPr>
          <w:rFonts w:ascii="Times New Roman" w:hAnsi="Times New Roman" w:cs="Times New Roman"/>
          <w:sz w:val="24"/>
          <w:szCs w:val="24"/>
        </w:rPr>
        <w:t xml:space="preserve">empirical </w:t>
      </w:r>
      <w:r>
        <w:rPr>
          <w:rFonts w:ascii="Times New Roman" w:hAnsi="Times New Roman" w:cs="Times New Roman"/>
          <w:sz w:val="24"/>
          <w:szCs w:val="24"/>
        </w:rPr>
        <w:t xml:space="preserve">understanding </w:t>
      </w:r>
      <w:r w:rsidR="005A18B7">
        <w:rPr>
          <w:rFonts w:ascii="Times New Roman" w:hAnsi="Times New Roman" w:cs="Times New Roman"/>
          <w:sz w:val="24"/>
          <w:szCs w:val="24"/>
        </w:rPr>
        <w:t>of the field, though this is not unique to EAP</w:t>
      </w:r>
      <w:r w:rsidR="00164900">
        <w:rPr>
          <w:rFonts w:ascii="Times New Roman" w:hAnsi="Times New Roman" w:cs="Times New Roman"/>
          <w:sz w:val="24"/>
          <w:szCs w:val="24"/>
        </w:rPr>
        <w:t>.  However, what is evident in the literature is a move t</w:t>
      </w:r>
      <w:r>
        <w:rPr>
          <w:rFonts w:ascii="Times New Roman" w:hAnsi="Times New Roman" w:cs="Times New Roman"/>
          <w:sz w:val="24"/>
          <w:szCs w:val="24"/>
        </w:rPr>
        <w:t>owards more systemic outcome measures</w:t>
      </w:r>
      <w:r w:rsidR="00164900">
        <w:rPr>
          <w:rFonts w:ascii="Times New Roman" w:hAnsi="Times New Roman" w:cs="Times New Roman"/>
          <w:sz w:val="24"/>
          <w:szCs w:val="24"/>
        </w:rPr>
        <w:t>,</w:t>
      </w:r>
      <w:r>
        <w:rPr>
          <w:rFonts w:ascii="Times New Roman" w:hAnsi="Times New Roman" w:cs="Times New Roman"/>
          <w:sz w:val="24"/>
          <w:szCs w:val="24"/>
        </w:rPr>
        <w:t xml:space="preserve"> such as </w:t>
      </w:r>
      <w:r w:rsidR="00164900">
        <w:rPr>
          <w:rFonts w:ascii="Times New Roman" w:hAnsi="Times New Roman" w:cs="Times New Roman"/>
          <w:sz w:val="24"/>
          <w:szCs w:val="24"/>
        </w:rPr>
        <w:t xml:space="preserve">provided by </w:t>
      </w:r>
      <w:r>
        <w:rPr>
          <w:rFonts w:ascii="Times New Roman" w:hAnsi="Times New Roman" w:cs="Times New Roman"/>
          <w:sz w:val="24"/>
          <w:szCs w:val="24"/>
        </w:rPr>
        <w:t>the Workplace Outcome Suite</w:t>
      </w:r>
      <w:r w:rsidR="00164900">
        <w:rPr>
          <w:rFonts w:ascii="Times New Roman" w:hAnsi="Times New Roman" w:cs="Times New Roman"/>
          <w:sz w:val="24"/>
          <w:szCs w:val="24"/>
        </w:rPr>
        <w:t>,</w:t>
      </w:r>
      <w:r>
        <w:rPr>
          <w:rFonts w:ascii="Times New Roman" w:hAnsi="Times New Roman" w:cs="Times New Roman"/>
          <w:sz w:val="24"/>
          <w:szCs w:val="24"/>
        </w:rPr>
        <w:t xml:space="preserve"> that enhances the measures we have </w:t>
      </w:r>
      <w:r w:rsidR="00164900">
        <w:rPr>
          <w:rFonts w:ascii="Times New Roman" w:hAnsi="Times New Roman" w:cs="Times New Roman"/>
          <w:sz w:val="24"/>
          <w:szCs w:val="24"/>
        </w:rPr>
        <w:t xml:space="preserve">been using </w:t>
      </w:r>
      <w:r>
        <w:rPr>
          <w:rFonts w:ascii="Times New Roman" w:hAnsi="Times New Roman" w:cs="Times New Roman"/>
          <w:sz w:val="24"/>
          <w:szCs w:val="24"/>
        </w:rPr>
        <w:t xml:space="preserve">from the </w:t>
      </w:r>
      <w:r w:rsidR="00164900">
        <w:rPr>
          <w:rFonts w:ascii="Times New Roman" w:hAnsi="Times New Roman" w:cs="Times New Roman"/>
          <w:sz w:val="24"/>
          <w:szCs w:val="24"/>
        </w:rPr>
        <w:t xml:space="preserve">onset of evaluating EAPs: </w:t>
      </w:r>
      <w:r>
        <w:rPr>
          <w:rFonts w:ascii="Times New Roman" w:hAnsi="Times New Roman" w:cs="Times New Roman"/>
          <w:sz w:val="24"/>
          <w:szCs w:val="24"/>
        </w:rPr>
        <w:t>absenteeism, compensation costs</w:t>
      </w:r>
      <w:r w:rsidR="00226F0C">
        <w:rPr>
          <w:rFonts w:ascii="Times New Roman" w:hAnsi="Times New Roman" w:cs="Times New Roman"/>
          <w:sz w:val="24"/>
          <w:szCs w:val="24"/>
        </w:rPr>
        <w:t>,</w:t>
      </w:r>
      <w:r>
        <w:rPr>
          <w:rFonts w:ascii="Times New Roman" w:hAnsi="Times New Roman" w:cs="Times New Roman"/>
          <w:sz w:val="24"/>
          <w:szCs w:val="24"/>
        </w:rPr>
        <w:t xml:space="preserve"> and sick leave.  Outcome and process studies are now </w:t>
      </w:r>
      <w:r w:rsidR="00164900">
        <w:rPr>
          <w:rFonts w:ascii="Times New Roman" w:hAnsi="Times New Roman" w:cs="Times New Roman"/>
          <w:sz w:val="24"/>
          <w:szCs w:val="24"/>
        </w:rPr>
        <w:t xml:space="preserve">also </w:t>
      </w:r>
      <w:r>
        <w:rPr>
          <w:rFonts w:ascii="Times New Roman" w:hAnsi="Times New Roman" w:cs="Times New Roman"/>
          <w:sz w:val="24"/>
          <w:szCs w:val="24"/>
        </w:rPr>
        <w:t>regularly consider</w:t>
      </w:r>
      <w:r w:rsidR="00164900">
        <w:rPr>
          <w:rFonts w:ascii="Times New Roman" w:hAnsi="Times New Roman" w:cs="Times New Roman"/>
          <w:sz w:val="24"/>
          <w:szCs w:val="24"/>
        </w:rPr>
        <w:t>ing</w:t>
      </w:r>
      <w:r>
        <w:rPr>
          <w:rFonts w:ascii="Times New Roman" w:hAnsi="Times New Roman" w:cs="Times New Roman"/>
          <w:sz w:val="24"/>
          <w:szCs w:val="24"/>
        </w:rPr>
        <w:t xml:space="preserve"> employee outcomes along with cost-benefit findings such that the answer of yes remains. Yes, EAP serves multiple masters but that is </w:t>
      </w:r>
      <w:r w:rsidR="00164900">
        <w:rPr>
          <w:rFonts w:ascii="Times New Roman" w:hAnsi="Times New Roman" w:cs="Times New Roman"/>
          <w:sz w:val="24"/>
          <w:szCs w:val="24"/>
        </w:rPr>
        <w:t xml:space="preserve">tolerable </w:t>
      </w:r>
      <w:r>
        <w:rPr>
          <w:rFonts w:ascii="Times New Roman" w:hAnsi="Times New Roman" w:cs="Times New Roman"/>
          <w:sz w:val="24"/>
          <w:szCs w:val="24"/>
        </w:rPr>
        <w:t xml:space="preserve">for </w:t>
      </w:r>
      <w:r w:rsidR="0034134D">
        <w:rPr>
          <w:rFonts w:ascii="Times New Roman" w:hAnsi="Times New Roman" w:cs="Times New Roman"/>
          <w:sz w:val="24"/>
          <w:szCs w:val="24"/>
        </w:rPr>
        <w:t xml:space="preserve">in doing so this dynamic tension that has existed in occupational programming since its onset </w:t>
      </w:r>
      <w:r w:rsidR="00226F0C">
        <w:rPr>
          <w:rFonts w:ascii="Times New Roman" w:hAnsi="Times New Roman" w:cs="Times New Roman"/>
          <w:sz w:val="24"/>
          <w:szCs w:val="24"/>
        </w:rPr>
        <w:t>in the 19</w:t>
      </w:r>
      <w:r w:rsidR="00226F0C" w:rsidRPr="00226F0C">
        <w:rPr>
          <w:rFonts w:ascii="Times New Roman" w:hAnsi="Times New Roman" w:cs="Times New Roman"/>
          <w:sz w:val="24"/>
          <w:szCs w:val="24"/>
          <w:vertAlign w:val="superscript"/>
        </w:rPr>
        <w:t>th</w:t>
      </w:r>
      <w:r w:rsidR="00226F0C">
        <w:rPr>
          <w:rFonts w:ascii="Times New Roman" w:hAnsi="Times New Roman" w:cs="Times New Roman"/>
          <w:sz w:val="24"/>
          <w:szCs w:val="24"/>
        </w:rPr>
        <w:t xml:space="preserve"> century </w:t>
      </w:r>
      <w:r w:rsidR="0034134D">
        <w:rPr>
          <w:rFonts w:ascii="Times New Roman" w:hAnsi="Times New Roman" w:cs="Times New Roman"/>
          <w:sz w:val="24"/>
          <w:szCs w:val="24"/>
        </w:rPr>
        <w:t xml:space="preserve">will </w:t>
      </w:r>
      <w:r w:rsidR="00164900">
        <w:rPr>
          <w:rFonts w:ascii="Times New Roman" w:hAnsi="Times New Roman" w:cs="Times New Roman"/>
          <w:sz w:val="24"/>
          <w:szCs w:val="24"/>
        </w:rPr>
        <w:t xml:space="preserve">hopefully </w:t>
      </w:r>
      <w:r w:rsidR="0034134D">
        <w:rPr>
          <w:rFonts w:ascii="Times New Roman" w:hAnsi="Times New Roman" w:cs="Times New Roman"/>
          <w:sz w:val="24"/>
          <w:szCs w:val="24"/>
        </w:rPr>
        <w:t>continue to lead to program evolution and not devolution</w:t>
      </w:r>
      <w:r w:rsidR="000D1DB5">
        <w:rPr>
          <w:rFonts w:ascii="Times New Roman" w:hAnsi="Times New Roman" w:cs="Times New Roman"/>
          <w:sz w:val="24"/>
          <w:szCs w:val="24"/>
        </w:rPr>
        <w:t>,</w:t>
      </w:r>
      <w:r w:rsidR="0034134D">
        <w:rPr>
          <w:rFonts w:ascii="Times New Roman" w:hAnsi="Times New Roman" w:cs="Times New Roman"/>
          <w:sz w:val="24"/>
          <w:szCs w:val="24"/>
        </w:rPr>
        <w:t xml:space="preserve"> and hopefully evaluators will continue to document this process for decades to come</w:t>
      </w:r>
      <w:r w:rsidR="00164900">
        <w:rPr>
          <w:rFonts w:ascii="Times New Roman" w:hAnsi="Times New Roman" w:cs="Times New Roman"/>
          <w:sz w:val="24"/>
          <w:szCs w:val="24"/>
        </w:rPr>
        <w:t xml:space="preserve"> to build upon this established baseline of knowledge.</w:t>
      </w:r>
      <w:r w:rsidR="0034134D">
        <w:rPr>
          <w:rFonts w:ascii="Times New Roman" w:hAnsi="Times New Roman" w:cs="Times New Roman"/>
          <w:sz w:val="24"/>
          <w:szCs w:val="24"/>
        </w:rPr>
        <w:t xml:space="preserve"> </w:t>
      </w:r>
    </w:p>
    <w:p w14:paraId="53E19ED5" w14:textId="71DB58A8" w:rsidR="00FE73E9" w:rsidRPr="00D41809" w:rsidRDefault="007F1BCC" w:rsidP="007B1472">
      <w:pPr>
        <w:jc w:val="center"/>
        <w:rPr>
          <w:rFonts w:ascii="Times New Roman" w:hAnsi="Times New Roman" w:cs="Times New Roman"/>
          <w:b/>
          <w:bCs/>
          <w:sz w:val="24"/>
          <w:szCs w:val="24"/>
        </w:rPr>
      </w:pPr>
      <w:r w:rsidRPr="00D41809">
        <w:rPr>
          <w:rFonts w:ascii="Times New Roman" w:hAnsi="Times New Roman" w:cs="Times New Roman"/>
          <w:b/>
          <w:bCs/>
          <w:sz w:val="24"/>
          <w:szCs w:val="24"/>
        </w:rPr>
        <w:t>References</w:t>
      </w:r>
    </w:p>
    <w:p w14:paraId="11972C0C" w14:textId="77777777" w:rsidR="006D7516" w:rsidRDefault="006D7516" w:rsidP="007B1472">
      <w:pPr>
        <w:jc w:val="center"/>
        <w:rPr>
          <w:rFonts w:ascii="Times New Roman" w:hAnsi="Times New Roman" w:cs="Times New Roman"/>
          <w:sz w:val="24"/>
          <w:szCs w:val="24"/>
        </w:rPr>
      </w:pPr>
    </w:p>
    <w:p w14:paraId="6F817397" w14:textId="77777777" w:rsidR="006D7516" w:rsidRDefault="006D7516" w:rsidP="006D7516">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lastRenderedPageBreak/>
        <w:t xml:space="preserve">Anema Jr, J. C., &amp; Sligar, S. R. (2010). Innovation in the workplace: Evaluation of a pilot employee assistance program serving persons with disabilities. </w:t>
      </w:r>
      <w:r w:rsidRPr="00D55BE5">
        <w:rPr>
          <w:rFonts w:ascii="Times New Roman" w:hAnsi="Times New Roman" w:cs="Times New Roman"/>
          <w:i/>
          <w:sz w:val="24"/>
          <w:szCs w:val="24"/>
        </w:rPr>
        <w:t>Journal of Rehabilitation, 76</w:t>
      </w:r>
      <w:r w:rsidRPr="006D7516">
        <w:rPr>
          <w:rFonts w:ascii="Times New Roman" w:hAnsi="Times New Roman" w:cs="Times New Roman"/>
          <w:sz w:val="24"/>
          <w:szCs w:val="24"/>
        </w:rPr>
        <w:t>(4), 9</w:t>
      </w:r>
      <w:r w:rsidR="00D55BE5">
        <w:rPr>
          <w:rFonts w:ascii="Times New Roman" w:hAnsi="Times New Roman" w:cs="Times New Roman"/>
          <w:sz w:val="24"/>
          <w:szCs w:val="24"/>
        </w:rPr>
        <w:t>-17</w:t>
      </w:r>
      <w:r w:rsidRPr="006D7516">
        <w:rPr>
          <w:rFonts w:ascii="Times New Roman" w:hAnsi="Times New Roman" w:cs="Times New Roman"/>
          <w:sz w:val="24"/>
          <w:szCs w:val="24"/>
        </w:rPr>
        <w:t>.</w:t>
      </w:r>
    </w:p>
    <w:p w14:paraId="543C60A4" w14:textId="77777777" w:rsidR="0017619E" w:rsidRPr="00330F20" w:rsidRDefault="00E56129" w:rsidP="0017619E">
      <w:pPr>
        <w:pStyle w:val="dx-doi"/>
        <w:spacing w:line="480" w:lineRule="auto"/>
        <w:ind w:left="720" w:hanging="720"/>
        <w:rPr>
          <w:color w:val="0070C0"/>
          <w:u w:val="single"/>
        </w:rPr>
      </w:pPr>
      <w:r w:rsidRPr="0017619E">
        <w:rPr>
          <w:rFonts w:eastAsia="Verdana"/>
        </w:rPr>
        <w:t xml:space="preserve">Battle, S. (1988). Issues to consider in planning Employee Assistance Program evaluations. </w:t>
      </w:r>
      <w:r w:rsidRPr="0017619E">
        <w:rPr>
          <w:i/>
        </w:rPr>
        <w:t xml:space="preserve">Employee Assistance Quarterly, </w:t>
      </w:r>
      <w:r w:rsidRPr="0017619E">
        <w:rPr>
          <w:rFonts w:eastAsia="Verdana"/>
        </w:rPr>
        <w:t xml:space="preserve">3(4), 79-93. </w:t>
      </w:r>
      <w:r w:rsidR="0017619E" w:rsidRPr="00330F20">
        <w:rPr>
          <w:rFonts w:eastAsia="Verdana"/>
          <w:color w:val="0070C0"/>
          <w:u w:val="single"/>
        </w:rPr>
        <w:t>https://</w:t>
      </w:r>
      <w:hyperlink r:id="rId8" w:history="1">
        <w:r w:rsidR="0017619E" w:rsidRPr="00330F20">
          <w:rPr>
            <w:color w:val="0070C0"/>
            <w:u w:val="single"/>
          </w:rPr>
          <w:t>doi.org/10.1300/J022v03n03_07</w:t>
        </w:r>
      </w:hyperlink>
    </w:p>
    <w:p w14:paraId="2B5445ED" w14:textId="58631FE9" w:rsidR="006D7516" w:rsidRDefault="006D7516" w:rsidP="006D7516">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Burgess, K., Lennox, R., Sharar, D. A., &amp; Shtoulman, A. (2015). A substance abuse intervention program at a large Russian manufacturing worksite. </w:t>
      </w:r>
      <w:r w:rsidRPr="00D55BE5">
        <w:rPr>
          <w:rFonts w:ascii="Times New Roman" w:hAnsi="Times New Roman" w:cs="Times New Roman"/>
          <w:i/>
          <w:sz w:val="24"/>
          <w:szCs w:val="24"/>
        </w:rPr>
        <w:t>Journal of Workplace Behavioral Health, 30</w:t>
      </w:r>
      <w:r w:rsidRPr="006D7516">
        <w:rPr>
          <w:rFonts w:ascii="Times New Roman" w:hAnsi="Times New Roman" w:cs="Times New Roman"/>
          <w:sz w:val="24"/>
          <w:szCs w:val="24"/>
        </w:rPr>
        <w:t xml:space="preserve">(1-2), 138-153. </w:t>
      </w:r>
      <w:hyperlink r:id="rId9" w:history="1">
        <w:r w:rsidR="00D55BE5" w:rsidRPr="00330F20">
          <w:rPr>
            <w:rStyle w:val="Hyperlink"/>
            <w:rFonts w:ascii="Times New Roman" w:hAnsi="Times New Roman" w:cs="Times New Roman"/>
            <w:color w:val="0070C0"/>
            <w:sz w:val="24"/>
            <w:szCs w:val="24"/>
          </w:rPr>
          <w:t>https://doi.org/10.1080/15555240.2015.1000159</w:t>
        </w:r>
      </w:hyperlink>
      <w:r w:rsidR="00D55BE5" w:rsidRPr="00330F20">
        <w:rPr>
          <w:rFonts w:ascii="Times New Roman" w:hAnsi="Times New Roman" w:cs="Times New Roman"/>
          <w:color w:val="0070C0"/>
          <w:sz w:val="24"/>
          <w:szCs w:val="24"/>
        </w:rPr>
        <w:t xml:space="preserve"> </w:t>
      </w:r>
    </w:p>
    <w:p w14:paraId="1F1A01EC" w14:textId="77777777" w:rsidR="009F4C13" w:rsidRPr="00226BD9" w:rsidRDefault="009F4C13" w:rsidP="009F4C13">
      <w:pPr>
        <w:spacing w:line="480" w:lineRule="auto"/>
        <w:ind w:left="720" w:hanging="720"/>
        <w:jc w:val="both"/>
        <w:rPr>
          <w:rFonts w:ascii="Times New Roman" w:hAnsi="Times New Roman" w:cs="Times New Roman"/>
          <w:sz w:val="24"/>
        </w:rPr>
      </w:pPr>
      <w:r w:rsidRPr="00226BD9">
        <w:rPr>
          <w:rFonts w:ascii="Times New Roman" w:hAnsi="Times New Roman" w:cs="Times New Roman"/>
          <w:sz w:val="24"/>
        </w:rPr>
        <w:t xml:space="preserve">Csiernik, R.  (1993). The value of Employee Assistance Programming.  </w:t>
      </w:r>
      <w:r w:rsidRPr="00226BD9">
        <w:rPr>
          <w:rFonts w:ascii="Times New Roman" w:hAnsi="Times New Roman" w:cs="Times New Roman"/>
          <w:i/>
          <w:sz w:val="24"/>
        </w:rPr>
        <w:t>Canadian Review of Social Policy</w:t>
      </w:r>
      <w:r w:rsidRPr="00226BD9">
        <w:rPr>
          <w:rFonts w:ascii="Times New Roman" w:hAnsi="Times New Roman" w:cs="Times New Roman"/>
          <w:sz w:val="24"/>
        </w:rPr>
        <w:t>, 32</w:t>
      </w:r>
      <w:r>
        <w:rPr>
          <w:rFonts w:ascii="Times New Roman" w:hAnsi="Times New Roman" w:cs="Times New Roman"/>
          <w:sz w:val="24"/>
        </w:rPr>
        <w:t xml:space="preserve">(1), </w:t>
      </w:r>
      <w:r w:rsidRPr="00226BD9">
        <w:rPr>
          <w:rFonts w:ascii="Times New Roman" w:hAnsi="Times New Roman" w:cs="Times New Roman"/>
          <w:sz w:val="24"/>
        </w:rPr>
        <w:t>68-73.</w:t>
      </w:r>
    </w:p>
    <w:p w14:paraId="5B0B6079" w14:textId="7F047393" w:rsidR="007B1472" w:rsidRDefault="007B1472" w:rsidP="007B1472">
      <w:pPr>
        <w:spacing w:line="48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Csiernik, R.  (1995). </w:t>
      </w:r>
      <w:r w:rsidRPr="002D1A41">
        <w:rPr>
          <w:rFonts w:ascii="Times New Roman" w:hAnsi="Times New Roman" w:cs="Times New Roman"/>
          <w:sz w:val="24"/>
          <w:szCs w:val="24"/>
          <w:lang w:val="en-GB"/>
        </w:rPr>
        <w:t xml:space="preserve">A review of research methods used to examine Employee Assistance Program delivery options. </w:t>
      </w:r>
      <w:r w:rsidRPr="002D1A41">
        <w:rPr>
          <w:rFonts w:ascii="Times New Roman" w:hAnsi="Times New Roman" w:cs="Times New Roman"/>
          <w:i/>
          <w:sz w:val="24"/>
          <w:szCs w:val="24"/>
          <w:lang w:val="en-GB"/>
        </w:rPr>
        <w:t>Evaluation and Program Planning</w:t>
      </w:r>
      <w:r w:rsidRPr="002D1A41">
        <w:rPr>
          <w:rFonts w:ascii="Times New Roman" w:hAnsi="Times New Roman" w:cs="Times New Roman"/>
          <w:sz w:val="24"/>
          <w:szCs w:val="24"/>
          <w:lang w:val="en-GB"/>
        </w:rPr>
        <w:t>, 18 (1)</w:t>
      </w:r>
      <w:r>
        <w:rPr>
          <w:rFonts w:ascii="Times New Roman" w:hAnsi="Times New Roman" w:cs="Times New Roman"/>
          <w:sz w:val="24"/>
          <w:szCs w:val="24"/>
          <w:lang w:val="en-GB"/>
        </w:rPr>
        <w:t>,</w:t>
      </w:r>
      <w:r w:rsidRPr="002D1A41">
        <w:rPr>
          <w:rFonts w:ascii="Times New Roman" w:hAnsi="Times New Roman" w:cs="Times New Roman"/>
          <w:sz w:val="24"/>
          <w:szCs w:val="24"/>
          <w:lang w:val="en-GB"/>
        </w:rPr>
        <w:t xml:space="preserve"> 25-36.</w:t>
      </w:r>
      <w:r w:rsidR="00D55BE5">
        <w:rPr>
          <w:rFonts w:ascii="Times New Roman" w:hAnsi="Times New Roman" w:cs="Times New Roman"/>
          <w:sz w:val="24"/>
          <w:szCs w:val="24"/>
          <w:lang w:val="en-GB"/>
        </w:rPr>
        <w:t xml:space="preserve"> </w:t>
      </w:r>
      <w:hyperlink r:id="rId10" w:history="1">
        <w:r w:rsidR="00D55BE5" w:rsidRPr="00330F20">
          <w:rPr>
            <w:rStyle w:val="Hyperlink"/>
            <w:rFonts w:ascii="Times New Roman" w:hAnsi="Times New Roman" w:cs="Times New Roman"/>
            <w:color w:val="0070C0"/>
            <w:sz w:val="24"/>
            <w:szCs w:val="24"/>
            <w:lang w:val="en-GB"/>
          </w:rPr>
          <w:t>https://doi.org/10.1016/0149-7189(94)00043-w</w:t>
        </w:r>
      </w:hyperlink>
      <w:r w:rsidR="00D55BE5">
        <w:rPr>
          <w:rFonts w:ascii="Times New Roman" w:hAnsi="Times New Roman" w:cs="Times New Roman"/>
          <w:sz w:val="24"/>
          <w:szCs w:val="24"/>
          <w:lang w:val="en-GB"/>
        </w:rPr>
        <w:t xml:space="preserve"> </w:t>
      </w:r>
    </w:p>
    <w:p w14:paraId="72D86569" w14:textId="77777777" w:rsidR="009F4C13" w:rsidRPr="009F4C13" w:rsidRDefault="009F4C13" w:rsidP="009F4C13">
      <w:pPr>
        <w:spacing w:line="480" w:lineRule="auto"/>
        <w:ind w:left="720" w:hanging="720"/>
        <w:jc w:val="both"/>
        <w:rPr>
          <w:rFonts w:ascii="Times New Roman" w:hAnsi="Times New Roman" w:cs="Times New Roman"/>
          <w:sz w:val="24"/>
        </w:rPr>
      </w:pPr>
      <w:r w:rsidRPr="009F4C13">
        <w:rPr>
          <w:rFonts w:ascii="Times New Roman" w:hAnsi="Times New Roman" w:cs="Times New Roman"/>
          <w:sz w:val="24"/>
        </w:rPr>
        <w:t xml:space="preserve">Csiernik, R.  (1998).  A profile of Canadian Employee Assistance Programs. </w:t>
      </w:r>
      <w:r w:rsidRPr="009F4C13">
        <w:rPr>
          <w:rFonts w:ascii="Times New Roman" w:hAnsi="Times New Roman" w:cs="Times New Roman"/>
          <w:i/>
          <w:sz w:val="24"/>
        </w:rPr>
        <w:t>Employee Assistance Research</w:t>
      </w:r>
      <w:r w:rsidRPr="009F4C13">
        <w:rPr>
          <w:rFonts w:ascii="Times New Roman" w:hAnsi="Times New Roman" w:cs="Times New Roman"/>
          <w:sz w:val="24"/>
          <w:u w:val="single"/>
        </w:rPr>
        <w:t xml:space="preserve"> </w:t>
      </w:r>
      <w:r w:rsidRPr="009F4C13">
        <w:rPr>
          <w:rFonts w:ascii="Times New Roman" w:hAnsi="Times New Roman" w:cs="Times New Roman"/>
          <w:i/>
          <w:sz w:val="24"/>
        </w:rPr>
        <w:t>Supplement</w:t>
      </w:r>
      <w:r w:rsidRPr="009F4C13">
        <w:rPr>
          <w:rFonts w:ascii="Times New Roman" w:hAnsi="Times New Roman" w:cs="Times New Roman"/>
          <w:sz w:val="24"/>
        </w:rPr>
        <w:t>, 2 (1): 1-8.</w:t>
      </w:r>
    </w:p>
    <w:p w14:paraId="5E80F7D1" w14:textId="77777777" w:rsidR="00FE73E9" w:rsidRPr="00F60D8C" w:rsidRDefault="00FE73E9" w:rsidP="007B1472">
      <w:pPr>
        <w:spacing w:line="480" w:lineRule="auto"/>
        <w:ind w:left="720" w:hanging="720"/>
        <w:rPr>
          <w:rFonts w:ascii="Times New Roman" w:hAnsi="Times New Roman" w:cs="Times New Roman"/>
          <w:sz w:val="24"/>
          <w:szCs w:val="24"/>
        </w:rPr>
      </w:pPr>
      <w:r w:rsidRPr="00F60D8C">
        <w:rPr>
          <w:rFonts w:ascii="Times New Roman" w:hAnsi="Times New Roman" w:cs="Times New Roman"/>
          <w:sz w:val="24"/>
          <w:szCs w:val="24"/>
        </w:rPr>
        <w:t xml:space="preserve">Csiernik, R. (2005). A review of EAP evaluation in the 1990s. </w:t>
      </w:r>
      <w:r w:rsidRPr="00F60D8C">
        <w:rPr>
          <w:rFonts w:ascii="Times New Roman" w:hAnsi="Times New Roman" w:cs="Times New Roman"/>
          <w:i/>
          <w:sz w:val="24"/>
          <w:szCs w:val="24"/>
        </w:rPr>
        <w:t>Journal of Employee Assistance and Workplace Behavioural Health</w:t>
      </w:r>
      <w:r w:rsidRPr="00F60D8C">
        <w:rPr>
          <w:rFonts w:ascii="Times New Roman" w:hAnsi="Times New Roman" w:cs="Times New Roman"/>
          <w:sz w:val="24"/>
          <w:szCs w:val="24"/>
        </w:rPr>
        <w:t xml:space="preserve">, 19(4), 21-37. </w:t>
      </w:r>
      <w:hyperlink r:id="rId11" w:history="1">
        <w:r w:rsidR="00D55BE5" w:rsidRPr="00330F20">
          <w:rPr>
            <w:rStyle w:val="Hyperlink"/>
            <w:rFonts w:ascii="Times New Roman" w:hAnsi="Times New Roman" w:cs="Times New Roman"/>
            <w:color w:val="0070C0"/>
            <w:sz w:val="24"/>
            <w:szCs w:val="24"/>
          </w:rPr>
          <w:t>https://doi.org/10.1300/j022v19n04_02</w:t>
        </w:r>
      </w:hyperlink>
      <w:r w:rsidR="00D55BE5" w:rsidRPr="00330F20">
        <w:rPr>
          <w:rFonts w:ascii="Times New Roman" w:hAnsi="Times New Roman" w:cs="Times New Roman"/>
          <w:color w:val="0070C0"/>
          <w:sz w:val="24"/>
          <w:szCs w:val="24"/>
        </w:rPr>
        <w:t xml:space="preserve"> </w:t>
      </w:r>
    </w:p>
    <w:p w14:paraId="14B0026B" w14:textId="77777777" w:rsidR="00FE73E9" w:rsidRDefault="00FE73E9" w:rsidP="007B1472">
      <w:pPr>
        <w:spacing w:line="480" w:lineRule="auto"/>
        <w:ind w:left="720" w:hanging="720"/>
        <w:rPr>
          <w:rFonts w:ascii="Times New Roman" w:hAnsi="Times New Roman" w:cs="Times New Roman"/>
          <w:sz w:val="24"/>
          <w:szCs w:val="24"/>
        </w:rPr>
      </w:pPr>
      <w:r w:rsidRPr="00F60D8C">
        <w:rPr>
          <w:rFonts w:ascii="Times New Roman" w:hAnsi="Times New Roman" w:cs="Times New Roman"/>
          <w:sz w:val="24"/>
          <w:szCs w:val="24"/>
        </w:rPr>
        <w:t>Csiernik, R.</w:t>
      </w:r>
      <w:r w:rsidR="00B1535F">
        <w:rPr>
          <w:rFonts w:ascii="Times New Roman" w:hAnsi="Times New Roman" w:cs="Times New Roman"/>
          <w:sz w:val="24"/>
          <w:szCs w:val="24"/>
        </w:rPr>
        <w:t xml:space="preserve"> (2011). The glass is filling: A</w:t>
      </w:r>
      <w:r w:rsidRPr="00F60D8C">
        <w:rPr>
          <w:rFonts w:ascii="Times New Roman" w:hAnsi="Times New Roman" w:cs="Times New Roman"/>
          <w:sz w:val="24"/>
          <w:szCs w:val="24"/>
        </w:rPr>
        <w:t xml:space="preserve">n examination of Employee Assistance Program Evaluations in the first decade of the new millennium. </w:t>
      </w:r>
      <w:r w:rsidRPr="00F60D8C">
        <w:rPr>
          <w:rFonts w:ascii="Times New Roman" w:hAnsi="Times New Roman" w:cs="Times New Roman"/>
          <w:i/>
          <w:sz w:val="24"/>
          <w:szCs w:val="24"/>
        </w:rPr>
        <w:t xml:space="preserve">Journal of Workplace Behavioural Health, </w:t>
      </w:r>
      <w:r w:rsidRPr="00F60D8C">
        <w:rPr>
          <w:rFonts w:ascii="Times New Roman" w:hAnsi="Times New Roman" w:cs="Times New Roman"/>
          <w:sz w:val="24"/>
          <w:szCs w:val="24"/>
        </w:rPr>
        <w:t>26(4), 344-355.</w:t>
      </w:r>
      <w:r w:rsidR="00D55BE5">
        <w:rPr>
          <w:rFonts w:ascii="Times New Roman" w:hAnsi="Times New Roman" w:cs="Times New Roman"/>
          <w:sz w:val="24"/>
          <w:szCs w:val="24"/>
        </w:rPr>
        <w:t xml:space="preserve"> </w:t>
      </w:r>
      <w:hyperlink r:id="rId12" w:history="1">
        <w:r w:rsidR="00D55BE5" w:rsidRPr="00330F20">
          <w:rPr>
            <w:rStyle w:val="Hyperlink"/>
            <w:rFonts w:ascii="Times New Roman" w:hAnsi="Times New Roman" w:cs="Times New Roman"/>
            <w:color w:val="0070C0"/>
            <w:sz w:val="24"/>
            <w:szCs w:val="24"/>
          </w:rPr>
          <w:t>https://doi.org/10.1080/15555240.2011.618438</w:t>
        </w:r>
      </w:hyperlink>
      <w:r w:rsidR="00D55BE5" w:rsidRPr="00330F20">
        <w:rPr>
          <w:rFonts w:ascii="Times New Roman" w:hAnsi="Times New Roman" w:cs="Times New Roman"/>
          <w:color w:val="0070C0"/>
          <w:sz w:val="24"/>
          <w:szCs w:val="24"/>
        </w:rPr>
        <w:t xml:space="preserve"> </w:t>
      </w:r>
    </w:p>
    <w:p w14:paraId="3F596F27"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lastRenderedPageBreak/>
        <w:t xml:space="preserve">Csiernik, R., Chaulk, P., &amp; McQuaid, S. (2012). A process evaluation of a Canadian public sector employee assistance program. </w:t>
      </w:r>
      <w:r w:rsidRPr="00D55BE5">
        <w:rPr>
          <w:rFonts w:ascii="Times New Roman" w:hAnsi="Times New Roman" w:cs="Times New Roman"/>
          <w:i/>
          <w:sz w:val="24"/>
          <w:szCs w:val="24"/>
        </w:rPr>
        <w:t>Journal of Workplace Behavioral Health, 27</w:t>
      </w:r>
      <w:r w:rsidRPr="006D7516">
        <w:rPr>
          <w:rFonts w:ascii="Times New Roman" w:hAnsi="Times New Roman" w:cs="Times New Roman"/>
          <w:sz w:val="24"/>
          <w:szCs w:val="24"/>
        </w:rPr>
        <w:t>(3), 160-180.</w:t>
      </w:r>
      <w:r w:rsidR="00D55BE5">
        <w:rPr>
          <w:rFonts w:ascii="Times New Roman" w:hAnsi="Times New Roman" w:cs="Times New Roman"/>
          <w:sz w:val="24"/>
          <w:szCs w:val="24"/>
        </w:rPr>
        <w:t xml:space="preserve"> </w:t>
      </w:r>
      <w:hyperlink r:id="rId13" w:history="1">
        <w:r w:rsidR="00D55BE5" w:rsidRPr="00330F20">
          <w:rPr>
            <w:rStyle w:val="Hyperlink"/>
            <w:rFonts w:ascii="Times New Roman" w:hAnsi="Times New Roman" w:cs="Times New Roman"/>
            <w:color w:val="0070C0"/>
            <w:sz w:val="24"/>
            <w:szCs w:val="24"/>
          </w:rPr>
          <w:t>https://doi.org/10.1080/15555240.2012.701169</w:t>
        </w:r>
      </w:hyperlink>
      <w:r w:rsidR="00D55BE5" w:rsidRPr="00330F20">
        <w:rPr>
          <w:rFonts w:ascii="Times New Roman" w:hAnsi="Times New Roman" w:cs="Times New Roman"/>
          <w:color w:val="0070C0"/>
          <w:sz w:val="24"/>
          <w:szCs w:val="24"/>
        </w:rPr>
        <w:t xml:space="preserve"> </w:t>
      </w:r>
    </w:p>
    <w:p w14:paraId="650A126B" w14:textId="77777777" w:rsidR="006D7516" w:rsidRDefault="006D7516" w:rsidP="007B1472">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t xml:space="preserve">Clavelle, P. R., Dickerson, S. J., &amp; Murphy, M. W. (2012). Counseling outcomes at a US Department of Defense employee assistance program. </w:t>
      </w:r>
      <w:r w:rsidRPr="00D55BE5">
        <w:rPr>
          <w:rFonts w:ascii="Times New Roman" w:hAnsi="Times New Roman" w:cs="Times New Roman"/>
          <w:i/>
          <w:sz w:val="24"/>
          <w:szCs w:val="24"/>
        </w:rPr>
        <w:t>Journal of Workplace Behavior</w:t>
      </w:r>
      <w:r w:rsidR="00D55BE5" w:rsidRPr="00D55BE5">
        <w:rPr>
          <w:rFonts w:ascii="Times New Roman" w:hAnsi="Times New Roman" w:cs="Times New Roman"/>
          <w:i/>
          <w:sz w:val="24"/>
          <w:szCs w:val="24"/>
        </w:rPr>
        <w:t>al Health, 27</w:t>
      </w:r>
      <w:r w:rsidR="00D55BE5">
        <w:rPr>
          <w:rFonts w:ascii="Times New Roman" w:hAnsi="Times New Roman" w:cs="Times New Roman"/>
          <w:sz w:val="24"/>
          <w:szCs w:val="24"/>
        </w:rPr>
        <w:t xml:space="preserve">(3), 127-138. </w:t>
      </w:r>
      <w:hyperlink r:id="rId14" w:history="1">
        <w:r w:rsidR="00D55BE5" w:rsidRPr="00330F20">
          <w:rPr>
            <w:rStyle w:val="Hyperlink"/>
            <w:rFonts w:ascii="Times New Roman" w:hAnsi="Times New Roman" w:cs="Times New Roman"/>
            <w:color w:val="0070C0"/>
            <w:sz w:val="24"/>
            <w:szCs w:val="24"/>
          </w:rPr>
          <w:t>https://doi.org/10.1080/15555240.2012.701166</w:t>
        </w:r>
      </w:hyperlink>
      <w:r w:rsidR="00D55BE5">
        <w:rPr>
          <w:rFonts w:ascii="Times New Roman" w:hAnsi="Times New Roman" w:cs="Times New Roman"/>
          <w:sz w:val="24"/>
          <w:szCs w:val="24"/>
        </w:rPr>
        <w:t xml:space="preserve"> </w:t>
      </w:r>
    </w:p>
    <w:p w14:paraId="4E717840"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Compton, R. L., &amp; McManus, J. G. (2015). Employee assistance programs in Australia: Evaluating success. </w:t>
      </w:r>
      <w:r w:rsidRPr="00D55BE5">
        <w:rPr>
          <w:rFonts w:ascii="Times New Roman" w:hAnsi="Times New Roman" w:cs="Times New Roman"/>
          <w:i/>
          <w:sz w:val="24"/>
          <w:szCs w:val="24"/>
        </w:rPr>
        <w:t>Journal of Workplace Behavior</w:t>
      </w:r>
      <w:r w:rsidR="00D55BE5" w:rsidRPr="00D55BE5">
        <w:rPr>
          <w:rFonts w:ascii="Times New Roman" w:hAnsi="Times New Roman" w:cs="Times New Roman"/>
          <w:i/>
          <w:sz w:val="24"/>
          <w:szCs w:val="24"/>
        </w:rPr>
        <w:t>al Health, 30</w:t>
      </w:r>
      <w:r w:rsidR="00D55BE5">
        <w:rPr>
          <w:rFonts w:ascii="Times New Roman" w:hAnsi="Times New Roman" w:cs="Times New Roman"/>
          <w:sz w:val="24"/>
          <w:szCs w:val="24"/>
        </w:rPr>
        <w:t xml:space="preserve">(1-2), 32-45. </w:t>
      </w:r>
      <w:hyperlink r:id="rId15" w:history="1">
        <w:r w:rsidR="00D55BE5" w:rsidRPr="00330F20">
          <w:rPr>
            <w:rStyle w:val="Hyperlink"/>
            <w:rFonts w:ascii="Times New Roman" w:hAnsi="Times New Roman" w:cs="Times New Roman"/>
            <w:color w:val="0070C0"/>
            <w:sz w:val="24"/>
            <w:szCs w:val="24"/>
          </w:rPr>
          <w:t>https://doi.org/10.1080/15555240.2015.998971</w:t>
        </w:r>
      </w:hyperlink>
      <w:r w:rsidR="00D55BE5" w:rsidRPr="00330F20">
        <w:rPr>
          <w:rFonts w:ascii="Times New Roman" w:hAnsi="Times New Roman" w:cs="Times New Roman"/>
          <w:color w:val="0070C0"/>
          <w:sz w:val="24"/>
          <w:szCs w:val="24"/>
        </w:rPr>
        <w:t xml:space="preserve"> </w:t>
      </w:r>
    </w:p>
    <w:p w14:paraId="721EFFDF"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Dickerson, S. J., Murphy, M. W., &amp; Clavelle, P. R. (2012). Work adjustment and general level of functioning pre-and post-EAP counseling. </w:t>
      </w:r>
      <w:r w:rsidRPr="00D55BE5">
        <w:rPr>
          <w:rFonts w:ascii="Times New Roman" w:hAnsi="Times New Roman" w:cs="Times New Roman"/>
          <w:i/>
          <w:sz w:val="24"/>
          <w:szCs w:val="24"/>
        </w:rPr>
        <w:t>Journal of Workplace Beha</w:t>
      </w:r>
      <w:r w:rsidR="00D55BE5" w:rsidRPr="00D55BE5">
        <w:rPr>
          <w:rFonts w:ascii="Times New Roman" w:hAnsi="Times New Roman" w:cs="Times New Roman"/>
          <w:i/>
          <w:sz w:val="24"/>
          <w:szCs w:val="24"/>
        </w:rPr>
        <w:t>vioral Health, 27</w:t>
      </w:r>
      <w:r w:rsidR="00D55BE5">
        <w:rPr>
          <w:rFonts w:ascii="Times New Roman" w:hAnsi="Times New Roman" w:cs="Times New Roman"/>
          <w:sz w:val="24"/>
          <w:szCs w:val="24"/>
        </w:rPr>
        <w:t xml:space="preserve">(4), 217-226. </w:t>
      </w:r>
      <w:hyperlink r:id="rId16" w:history="1">
        <w:r w:rsidR="00D55BE5" w:rsidRPr="00330F20">
          <w:rPr>
            <w:rStyle w:val="Hyperlink"/>
            <w:rFonts w:ascii="Times New Roman" w:hAnsi="Times New Roman" w:cs="Times New Roman"/>
            <w:color w:val="0070C0"/>
            <w:sz w:val="24"/>
            <w:szCs w:val="24"/>
          </w:rPr>
          <w:t>https://doi.org/10.1080/15555240.2012.725586</w:t>
        </w:r>
      </w:hyperlink>
      <w:r w:rsidR="00D55BE5" w:rsidRPr="00330F20">
        <w:rPr>
          <w:rFonts w:ascii="Times New Roman" w:hAnsi="Times New Roman" w:cs="Times New Roman"/>
          <w:color w:val="0070C0"/>
          <w:sz w:val="24"/>
          <w:szCs w:val="24"/>
        </w:rPr>
        <w:t xml:space="preserve"> </w:t>
      </w:r>
    </w:p>
    <w:p w14:paraId="2A4AF8F0" w14:textId="77777777" w:rsidR="0017619E" w:rsidRPr="00E01F86" w:rsidRDefault="0017619E" w:rsidP="0017619E">
      <w:pPr>
        <w:spacing w:after="81" w:line="480" w:lineRule="auto"/>
        <w:ind w:left="720" w:hanging="720"/>
        <w:rPr>
          <w:rFonts w:ascii="Times New Roman" w:eastAsia="Verdana" w:hAnsi="Times New Roman" w:cs="Times New Roman"/>
          <w:sz w:val="24"/>
          <w:szCs w:val="24"/>
        </w:rPr>
      </w:pPr>
      <w:r w:rsidRPr="00E01F86">
        <w:rPr>
          <w:rFonts w:ascii="Times New Roman" w:eastAsia="Verdana" w:hAnsi="Times New Roman" w:cs="Times New Roman"/>
          <w:sz w:val="24"/>
          <w:szCs w:val="24"/>
        </w:rPr>
        <w:t xml:space="preserve">Durkin, W. (1985). Evaluation of EAP programming. In S. Klarreich J. Francek, &amp; C. E. Moore (Eds.), </w:t>
      </w:r>
      <w:r w:rsidRPr="00E01F86">
        <w:rPr>
          <w:rFonts w:ascii="Times New Roman" w:eastAsia="Times New Roman" w:hAnsi="Times New Roman" w:cs="Times New Roman"/>
          <w:i/>
          <w:sz w:val="24"/>
          <w:szCs w:val="24"/>
        </w:rPr>
        <w:t xml:space="preserve">The human resources handbook </w:t>
      </w:r>
      <w:r w:rsidRPr="00E01F86">
        <w:rPr>
          <w:rFonts w:ascii="Times New Roman" w:eastAsia="Verdana" w:hAnsi="Times New Roman" w:cs="Times New Roman"/>
          <w:sz w:val="24"/>
          <w:szCs w:val="24"/>
        </w:rPr>
        <w:t xml:space="preserve">(pp. 243-259). Prager Press. </w:t>
      </w:r>
    </w:p>
    <w:p w14:paraId="193CCA75" w14:textId="77777777" w:rsidR="006D7516" w:rsidRPr="00D55BE5" w:rsidRDefault="006D7516" w:rsidP="007B1472">
      <w:pPr>
        <w:spacing w:line="480" w:lineRule="auto"/>
        <w:ind w:left="720" w:hanging="720"/>
        <w:rPr>
          <w:rFonts w:ascii="Times New Roman" w:hAnsi="Times New Roman" w:cs="Times New Roman"/>
          <w:sz w:val="28"/>
          <w:szCs w:val="24"/>
        </w:rPr>
      </w:pPr>
      <w:r w:rsidRPr="006D7516">
        <w:rPr>
          <w:rFonts w:ascii="Times New Roman" w:hAnsi="Times New Roman" w:cs="Times New Roman"/>
          <w:sz w:val="24"/>
          <w:szCs w:val="24"/>
        </w:rPr>
        <w:t>Hood, L.</w:t>
      </w:r>
      <w:r w:rsidR="00D55BE5">
        <w:rPr>
          <w:rFonts w:ascii="Times New Roman" w:hAnsi="Times New Roman" w:cs="Times New Roman"/>
          <w:sz w:val="24"/>
          <w:szCs w:val="24"/>
        </w:rPr>
        <w:t>, &amp; Csiernik, R. (2017). Union m</w:t>
      </w:r>
      <w:r w:rsidRPr="006D7516">
        <w:rPr>
          <w:rFonts w:ascii="Times New Roman" w:hAnsi="Times New Roman" w:cs="Times New Roman"/>
          <w:sz w:val="24"/>
          <w:szCs w:val="24"/>
        </w:rPr>
        <w:t xml:space="preserve">atters: United Food and </w:t>
      </w:r>
      <w:r w:rsidR="00D55BE5">
        <w:rPr>
          <w:rFonts w:ascii="Times New Roman" w:hAnsi="Times New Roman" w:cs="Times New Roman"/>
          <w:sz w:val="24"/>
          <w:szCs w:val="24"/>
        </w:rPr>
        <w:t>Commercial Workers Local 12R24 members assistance p</w:t>
      </w:r>
      <w:r w:rsidRPr="006D7516">
        <w:rPr>
          <w:rFonts w:ascii="Times New Roman" w:hAnsi="Times New Roman" w:cs="Times New Roman"/>
          <w:sz w:val="24"/>
          <w:szCs w:val="24"/>
        </w:rPr>
        <w:t>rogram.</w:t>
      </w:r>
      <w:r w:rsidR="00D55BE5">
        <w:rPr>
          <w:rFonts w:ascii="Times New Roman" w:hAnsi="Times New Roman" w:cs="Times New Roman"/>
          <w:sz w:val="24"/>
          <w:szCs w:val="24"/>
        </w:rPr>
        <w:t xml:space="preserve"> </w:t>
      </w:r>
      <w:r w:rsidR="00D55BE5" w:rsidRPr="00D55BE5">
        <w:rPr>
          <w:rFonts w:ascii="Times New Roman" w:hAnsi="Times New Roman" w:cs="Times New Roman"/>
          <w:i/>
          <w:sz w:val="24"/>
        </w:rPr>
        <w:t>American International Journal of Social Science</w:t>
      </w:r>
      <w:r w:rsidR="00D55BE5">
        <w:rPr>
          <w:rFonts w:ascii="Times New Roman" w:hAnsi="Times New Roman" w:cs="Times New Roman"/>
          <w:i/>
          <w:sz w:val="24"/>
        </w:rPr>
        <w:t>, 6</w:t>
      </w:r>
      <w:r w:rsidR="00D55BE5">
        <w:rPr>
          <w:rFonts w:ascii="Times New Roman" w:hAnsi="Times New Roman" w:cs="Times New Roman"/>
          <w:sz w:val="24"/>
        </w:rPr>
        <w:t xml:space="preserve">(2), 11-18. </w:t>
      </w:r>
    </w:p>
    <w:p w14:paraId="4C2FB7FB" w14:textId="77777777" w:rsidR="006D7516" w:rsidRPr="00D55BE5" w:rsidRDefault="00D55BE5" w:rsidP="007B14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Huda, K. N. </w:t>
      </w:r>
      <w:r w:rsidR="00164900">
        <w:rPr>
          <w:rFonts w:ascii="Times New Roman" w:hAnsi="Times New Roman" w:cs="Times New Roman"/>
          <w:sz w:val="24"/>
          <w:szCs w:val="24"/>
        </w:rPr>
        <w:t xml:space="preserve">(2018). </w:t>
      </w:r>
      <w:r>
        <w:rPr>
          <w:rFonts w:ascii="Times New Roman" w:hAnsi="Times New Roman" w:cs="Times New Roman"/>
          <w:sz w:val="24"/>
          <w:szCs w:val="24"/>
        </w:rPr>
        <w:t>Measuring the effectiveness of employee assistance p</w:t>
      </w:r>
      <w:r w:rsidR="006D7516" w:rsidRPr="006D7516">
        <w:rPr>
          <w:rFonts w:ascii="Times New Roman" w:hAnsi="Times New Roman" w:cs="Times New Roman"/>
          <w:sz w:val="24"/>
          <w:szCs w:val="24"/>
        </w:rPr>
        <w:t>rogram</w:t>
      </w:r>
      <w:r>
        <w:rPr>
          <w:rFonts w:ascii="Times New Roman" w:hAnsi="Times New Roman" w:cs="Times New Roman"/>
          <w:sz w:val="24"/>
          <w:szCs w:val="24"/>
        </w:rPr>
        <w:t xml:space="preserve"> in the RMGs of Bangladesh: An evaluative s</w:t>
      </w:r>
      <w:r w:rsidR="006D7516" w:rsidRPr="006D7516">
        <w:rPr>
          <w:rFonts w:ascii="Times New Roman" w:hAnsi="Times New Roman" w:cs="Times New Roman"/>
          <w:sz w:val="24"/>
          <w:szCs w:val="24"/>
        </w:rPr>
        <w:t>tudy.</w:t>
      </w:r>
      <w:r>
        <w:rPr>
          <w:rFonts w:ascii="Times New Roman" w:hAnsi="Times New Roman" w:cs="Times New Roman"/>
          <w:sz w:val="24"/>
          <w:szCs w:val="24"/>
        </w:rPr>
        <w:t xml:space="preserve"> </w:t>
      </w:r>
      <w:r w:rsidRPr="00D55BE5">
        <w:rPr>
          <w:rFonts w:ascii="Times New Roman" w:hAnsi="Times New Roman" w:cs="Times New Roman"/>
          <w:i/>
          <w:sz w:val="24"/>
          <w:szCs w:val="24"/>
        </w:rPr>
        <w:t>International Journal of</w:t>
      </w:r>
      <w:r>
        <w:rPr>
          <w:rFonts w:ascii="Times New Roman" w:hAnsi="Times New Roman" w:cs="Times New Roman"/>
          <w:i/>
          <w:sz w:val="24"/>
          <w:szCs w:val="24"/>
        </w:rPr>
        <w:t xml:space="preserve"> Business and Technopreneurship, 8</w:t>
      </w:r>
      <w:r>
        <w:rPr>
          <w:rFonts w:ascii="Times New Roman" w:hAnsi="Times New Roman" w:cs="Times New Roman"/>
          <w:sz w:val="24"/>
          <w:szCs w:val="24"/>
        </w:rPr>
        <w:t xml:space="preserve">(1), 55-66. </w:t>
      </w:r>
    </w:p>
    <w:p w14:paraId="5DB1EAFA"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lastRenderedPageBreak/>
        <w:t xml:space="preserve">Jacobson, J. M., Jones, A. L., &amp; Bowers, N. (2011). Using existing employee assistance program case files to demonstrate outcomes. </w:t>
      </w:r>
      <w:r w:rsidRPr="00D55BE5">
        <w:rPr>
          <w:rFonts w:ascii="Times New Roman" w:hAnsi="Times New Roman" w:cs="Times New Roman"/>
          <w:i/>
          <w:sz w:val="24"/>
          <w:szCs w:val="24"/>
        </w:rPr>
        <w:t>Journal of Workplace Behavi</w:t>
      </w:r>
      <w:r w:rsidR="00D55BE5" w:rsidRPr="00D55BE5">
        <w:rPr>
          <w:rFonts w:ascii="Times New Roman" w:hAnsi="Times New Roman" w:cs="Times New Roman"/>
          <w:i/>
          <w:sz w:val="24"/>
          <w:szCs w:val="24"/>
        </w:rPr>
        <w:t>oral Health, 26</w:t>
      </w:r>
      <w:r w:rsidR="00D55BE5">
        <w:rPr>
          <w:rFonts w:ascii="Times New Roman" w:hAnsi="Times New Roman" w:cs="Times New Roman"/>
          <w:sz w:val="24"/>
          <w:szCs w:val="24"/>
        </w:rPr>
        <w:t xml:space="preserve">(1), 44-58. </w:t>
      </w:r>
      <w:hyperlink r:id="rId17" w:history="1">
        <w:r w:rsidR="00D55BE5" w:rsidRPr="00330F20">
          <w:rPr>
            <w:rStyle w:val="Hyperlink"/>
            <w:rFonts w:ascii="Times New Roman" w:hAnsi="Times New Roman" w:cs="Times New Roman"/>
            <w:color w:val="0070C0"/>
            <w:sz w:val="24"/>
            <w:szCs w:val="24"/>
          </w:rPr>
          <w:t>https://doi.org/10.1080/15555240.2011.540983</w:t>
        </w:r>
      </w:hyperlink>
      <w:r w:rsidR="00D55BE5" w:rsidRPr="00330F20">
        <w:rPr>
          <w:rFonts w:ascii="Times New Roman" w:hAnsi="Times New Roman" w:cs="Times New Roman"/>
          <w:color w:val="0070C0"/>
          <w:sz w:val="24"/>
          <w:szCs w:val="24"/>
        </w:rPr>
        <w:t xml:space="preserve"> </w:t>
      </w:r>
    </w:p>
    <w:p w14:paraId="0D906E03" w14:textId="77777777" w:rsidR="0017619E" w:rsidRPr="00330F20" w:rsidRDefault="0017619E" w:rsidP="0017619E">
      <w:pPr>
        <w:spacing w:after="178" w:line="480" w:lineRule="auto"/>
        <w:ind w:left="720" w:right="194" w:hanging="720"/>
        <w:jc w:val="both"/>
        <w:rPr>
          <w:rFonts w:ascii="Times New Roman" w:hAnsi="Times New Roman" w:cs="Times New Roman"/>
          <w:color w:val="0070C0"/>
          <w:sz w:val="24"/>
          <w:szCs w:val="24"/>
          <w:u w:val="single"/>
        </w:rPr>
      </w:pPr>
      <w:r w:rsidRPr="0017619E">
        <w:rPr>
          <w:rFonts w:ascii="Times New Roman" w:eastAsia="Verdana" w:hAnsi="Times New Roman" w:cs="Times New Roman"/>
          <w:sz w:val="24"/>
          <w:szCs w:val="24"/>
        </w:rPr>
        <w:t xml:space="preserve">Jerrell J., &amp; Rightmyer, J. (1982). Evaluating Employee Assistance Programs: A review of methods, outcomes and future directions. </w:t>
      </w:r>
      <w:r w:rsidRPr="0017619E">
        <w:rPr>
          <w:rFonts w:ascii="Times New Roman" w:eastAsia="Times New Roman" w:hAnsi="Times New Roman" w:cs="Times New Roman"/>
          <w:i/>
          <w:sz w:val="24"/>
          <w:szCs w:val="24"/>
        </w:rPr>
        <w:t xml:space="preserve">Evaluation and Program Planning, 5,255-267. </w:t>
      </w:r>
      <w:r w:rsidRPr="00330F20">
        <w:rPr>
          <w:rFonts w:ascii="Times New Roman" w:eastAsia="Times New Roman" w:hAnsi="Times New Roman" w:cs="Times New Roman"/>
          <w:iCs/>
          <w:color w:val="0070C0"/>
          <w:sz w:val="24"/>
          <w:szCs w:val="24"/>
          <w:u w:val="single"/>
        </w:rPr>
        <w:t>https://</w:t>
      </w:r>
      <w:hyperlink r:id="rId18" w:tgtFrame="_blank" w:tooltip="Persistent link using digital object identifier" w:history="1">
        <w:r w:rsidRPr="00330F20">
          <w:rPr>
            <w:rStyle w:val="Hyperlink"/>
            <w:rFonts w:ascii="Times New Roman" w:hAnsi="Times New Roman" w:cs="Times New Roman"/>
            <w:color w:val="0070C0"/>
            <w:sz w:val="24"/>
            <w:szCs w:val="24"/>
          </w:rPr>
          <w:t>doi.org/10.1016/0149-7189(82)90077-5</w:t>
        </w:r>
      </w:hyperlink>
    </w:p>
    <w:p w14:paraId="78D91FDC" w14:textId="77777777" w:rsidR="0017619E" w:rsidRPr="00330F20" w:rsidRDefault="0017619E" w:rsidP="0017619E">
      <w:pPr>
        <w:spacing w:after="46" w:line="480" w:lineRule="auto"/>
        <w:ind w:left="720" w:hanging="720"/>
        <w:rPr>
          <w:rFonts w:ascii="Times New Roman" w:hAnsi="Times New Roman" w:cs="Times New Roman"/>
          <w:color w:val="0070C0"/>
          <w:sz w:val="24"/>
          <w:szCs w:val="24"/>
        </w:rPr>
      </w:pPr>
      <w:r w:rsidRPr="0017619E">
        <w:rPr>
          <w:rFonts w:ascii="Times New Roman" w:eastAsia="Verdana" w:hAnsi="Times New Roman" w:cs="Times New Roman"/>
          <w:sz w:val="24"/>
          <w:szCs w:val="24"/>
        </w:rPr>
        <w:t xml:space="preserve">Kurtz, N., Googins, B., &amp; Howard, W. (1984). Measuring the success of occupational alcoholism programs. </w:t>
      </w:r>
      <w:r w:rsidRPr="0017619E">
        <w:rPr>
          <w:rFonts w:ascii="Times New Roman" w:eastAsia="Times New Roman" w:hAnsi="Times New Roman" w:cs="Times New Roman"/>
          <w:i/>
          <w:sz w:val="24"/>
          <w:szCs w:val="24"/>
        </w:rPr>
        <w:t xml:space="preserve">Journal of Studies on Alcohol, 45(1), 33-45. </w:t>
      </w:r>
      <w:hyperlink r:id="rId19" w:history="1">
        <w:r w:rsidRPr="00330F20">
          <w:rPr>
            <w:rStyle w:val="Hyperlink"/>
            <w:rFonts w:ascii="Times New Roman" w:hAnsi="Times New Roman" w:cs="Times New Roman"/>
            <w:color w:val="0070C0"/>
            <w:sz w:val="24"/>
            <w:szCs w:val="24"/>
            <w:shd w:val="clear" w:color="auto" w:fill="F8F8F8"/>
          </w:rPr>
          <w:t>https://doi.org/10.15288/jsa.1984.45.33</w:t>
        </w:r>
      </w:hyperlink>
    </w:p>
    <w:p w14:paraId="3CA832A8" w14:textId="77777777" w:rsidR="0017619E" w:rsidRPr="0017619E" w:rsidRDefault="0017619E" w:rsidP="0017619E">
      <w:pPr>
        <w:tabs>
          <w:tab w:val="center" w:pos="6300"/>
        </w:tabs>
        <w:spacing w:after="29" w:line="480" w:lineRule="auto"/>
        <w:ind w:left="720" w:hanging="720"/>
        <w:rPr>
          <w:rFonts w:ascii="Times New Roman" w:hAnsi="Times New Roman" w:cs="Times New Roman"/>
          <w:sz w:val="24"/>
          <w:szCs w:val="24"/>
        </w:rPr>
      </w:pPr>
      <w:r w:rsidRPr="0017619E">
        <w:rPr>
          <w:rFonts w:ascii="Times New Roman" w:eastAsia="Verdana" w:hAnsi="Times New Roman" w:cs="Times New Roman"/>
          <w:sz w:val="24"/>
          <w:szCs w:val="24"/>
        </w:rPr>
        <w:t xml:space="preserve">Lynch, J. (1980). Variations in program usage in different occupational settings. </w:t>
      </w:r>
      <w:r w:rsidRPr="0017619E">
        <w:rPr>
          <w:rFonts w:ascii="Times New Roman" w:eastAsia="Times New Roman" w:hAnsi="Times New Roman" w:cs="Times New Roman"/>
          <w:i/>
          <w:sz w:val="24"/>
          <w:szCs w:val="24"/>
        </w:rPr>
        <w:t xml:space="preserve">Labour-Management Alcoholism Journal, 10(3), 85-96. </w:t>
      </w:r>
    </w:p>
    <w:p w14:paraId="1BAC3B10" w14:textId="77777777" w:rsidR="004D61E5" w:rsidRDefault="004D61E5" w:rsidP="004D61E5">
      <w:pPr>
        <w:spacing w:line="480" w:lineRule="auto"/>
        <w:ind w:left="720" w:hanging="720"/>
        <w:rPr>
          <w:rFonts w:ascii="Times New Roman" w:hAnsi="Times New Roman" w:cs="Times New Roman"/>
          <w:sz w:val="24"/>
          <w:szCs w:val="24"/>
        </w:rPr>
      </w:pPr>
      <w:r w:rsidRPr="004D61E5">
        <w:rPr>
          <w:rFonts w:ascii="Times New Roman" w:hAnsi="Times New Roman" w:cs="Times New Roman"/>
          <w:sz w:val="24"/>
          <w:szCs w:val="24"/>
        </w:rPr>
        <w:t xml:space="preserve">Macdonald, S. (1986). </w:t>
      </w:r>
      <w:r w:rsidRPr="0017619E">
        <w:rPr>
          <w:rFonts w:ascii="Times New Roman" w:hAnsi="Times New Roman" w:cs="Times New Roman"/>
          <w:i/>
          <w:iCs/>
          <w:sz w:val="24"/>
          <w:szCs w:val="24"/>
        </w:rPr>
        <w:t>Evaluating EAPs</w:t>
      </w:r>
      <w:r w:rsidRPr="004D61E5">
        <w:rPr>
          <w:rFonts w:ascii="Times New Roman" w:hAnsi="Times New Roman" w:cs="Times New Roman"/>
          <w:sz w:val="24"/>
          <w:szCs w:val="24"/>
        </w:rPr>
        <w:t>. Addiction Research</w:t>
      </w:r>
      <w:r>
        <w:rPr>
          <w:rFonts w:ascii="Times New Roman" w:hAnsi="Times New Roman" w:cs="Times New Roman"/>
          <w:sz w:val="24"/>
          <w:szCs w:val="24"/>
        </w:rPr>
        <w:t xml:space="preserve"> </w:t>
      </w:r>
      <w:r w:rsidRPr="004D61E5">
        <w:rPr>
          <w:rFonts w:ascii="Times New Roman" w:hAnsi="Times New Roman" w:cs="Times New Roman"/>
          <w:sz w:val="24"/>
          <w:szCs w:val="24"/>
        </w:rPr>
        <w:t>Foundation.</w:t>
      </w:r>
    </w:p>
    <w:p w14:paraId="39629B19" w14:textId="77777777" w:rsidR="0017619E" w:rsidRPr="0017619E" w:rsidRDefault="0017619E" w:rsidP="0017619E">
      <w:pPr>
        <w:spacing w:after="183" w:line="480" w:lineRule="auto"/>
        <w:ind w:left="720" w:hanging="720"/>
        <w:rPr>
          <w:rFonts w:ascii="Times New Roman" w:hAnsi="Times New Roman" w:cs="Times New Roman"/>
          <w:iCs/>
          <w:sz w:val="24"/>
          <w:szCs w:val="24"/>
        </w:rPr>
      </w:pPr>
      <w:r w:rsidRPr="0017619E">
        <w:rPr>
          <w:rFonts w:ascii="Times New Roman" w:eastAsia="Verdana" w:hAnsi="Times New Roman" w:cs="Times New Roman"/>
          <w:sz w:val="24"/>
          <w:szCs w:val="24"/>
        </w:rPr>
        <w:t xml:space="preserve">Masi, D., &amp; Goff, M. (1987). The evaluation of Employee Assistance </w:t>
      </w:r>
      <w:r w:rsidRPr="0017619E">
        <w:rPr>
          <w:rFonts w:ascii="Times New Roman" w:eastAsia="Times New Roman" w:hAnsi="Times New Roman" w:cs="Times New Roman"/>
          <w:i/>
          <w:sz w:val="24"/>
          <w:szCs w:val="24"/>
        </w:rPr>
        <w:t>Programs</w:t>
      </w:r>
      <w:r w:rsidRPr="0017619E">
        <w:rPr>
          <w:rFonts w:ascii="Times New Roman" w:eastAsia="Times New Roman" w:hAnsi="Times New Roman" w:cs="Times New Roman"/>
          <w:iCs/>
          <w:sz w:val="24"/>
          <w:szCs w:val="24"/>
        </w:rPr>
        <w:t>. Public</w:t>
      </w:r>
      <w:r w:rsidRPr="0017619E">
        <w:rPr>
          <w:rFonts w:ascii="Times New Roman" w:eastAsia="Times New Roman" w:hAnsi="Times New Roman" w:cs="Times New Roman"/>
          <w:i/>
          <w:sz w:val="24"/>
          <w:szCs w:val="24"/>
        </w:rPr>
        <w:t xml:space="preserve"> Personnel Management, I6(4),323-327. </w:t>
      </w:r>
      <w:hyperlink r:id="rId20" w:history="1">
        <w:r w:rsidRPr="0017619E">
          <w:rPr>
            <w:rStyle w:val="Hyperlink"/>
            <w:rFonts w:ascii="Times New Roman" w:hAnsi="Times New Roman" w:cs="Times New Roman"/>
            <w:color w:val="006ACC"/>
            <w:sz w:val="24"/>
            <w:szCs w:val="24"/>
            <w:shd w:val="clear" w:color="auto" w:fill="FFFFFF"/>
          </w:rPr>
          <w:t>https://doi.org/10.1177/009102608701600404</w:t>
        </w:r>
      </w:hyperlink>
    </w:p>
    <w:p w14:paraId="16E4D019" w14:textId="53039543" w:rsidR="006D7516" w:rsidRDefault="00B1535F" w:rsidP="007B1472">
      <w:pPr>
        <w:spacing w:line="480" w:lineRule="auto"/>
        <w:ind w:left="720" w:hanging="720"/>
        <w:rPr>
          <w:rFonts w:ascii="Times New Roman" w:hAnsi="Times New Roman" w:cs="Times New Roman"/>
          <w:color w:val="0070C0"/>
          <w:sz w:val="24"/>
          <w:szCs w:val="24"/>
        </w:rPr>
      </w:pPr>
      <w:r>
        <w:rPr>
          <w:rFonts w:ascii="Times New Roman" w:hAnsi="Times New Roman" w:cs="Times New Roman"/>
          <w:sz w:val="24"/>
          <w:szCs w:val="24"/>
        </w:rPr>
        <w:t>Mellor-Clark, J., Twigg, E., Farrell, E.</w:t>
      </w:r>
      <w:r w:rsidR="006D7516" w:rsidRPr="006D7516">
        <w:rPr>
          <w:rFonts w:ascii="Times New Roman" w:hAnsi="Times New Roman" w:cs="Times New Roman"/>
          <w:sz w:val="24"/>
          <w:szCs w:val="24"/>
        </w:rPr>
        <w:t>,</w:t>
      </w:r>
      <w:r>
        <w:rPr>
          <w:rFonts w:ascii="Times New Roman" w:hAnsi="Times New Roman" w:cs="Times New Roman"/>
          <w:sz w:val="24"/>
          <w:szCs w:val="24"/>
        </w:rPr>
        <w:t xml:space="preserve"> &amp; Kinder, A. (2013).</w:t>
      </w:r>
      <w:r w:rsidR="006D7516" w:rsidRPr="006D7516">
        <w:rPr>
          <w:rFonts w:ascii="Times New Roman" w:hAnsi="Times New Roman" w:cs="Times New Roman"/>
          <w:sz w:val="24"/>
          <w:szCs w:val="24"/>
        </w:rPr>
        <w:t xml:space="preserve"> Benchmarking key service quality indicators in UK Employee Assistance Programme Counselling: A CORE System data profile. </w:t>
      </w:r>
      <w:r w:rsidR="006D7516" w:rsidRPr="00D55BE5">
        <w:rPr>
          <w:rFonts w:ascii="Times New Roman" w:hAnsi="Times New Roman" w:cs="Times New Roman"/>
          <w:i/>
          <w:sz w:val="24"/>
          <w:szCs w:val="24"/>
        </w:rPr>
        <w:t xml:space="preserve">Counselling and </w:t>
      </w:r>
      <w:r w:rsidR="00D55BE5" w:rsidRPr="00D55BE5">
        <w:rPr>
          <w:rFonts w:ascii="Times New Roman" w:hAnsi="Times New Roman" w:cs="Times New Roman"/>
          <w:i/>
          <w:sz w:val="24"/>
          <w:szCs w:val="24"/>
        </w:rPr>
        <w:t>Psychotherapy Research</w:t>
      </w:r>
      <w:r w:rsidR="00D55BE5">
        <w:rPr>
          <w:rFonts w:ascii="Times New Roman" w:hAnsi="Times New Roman" w:cs="Times New Roman"/>
          <w:sz w:val="24"/>
          <w:szCs w:val="24"/>
        </w:rPr>
        <w:t xml:space="preserve">, </w:t>
      </w:r>
      <w:r w:rsidR="00D55BE5" w:rsidRPr="00B1535F">
        <w:rPr>
          <w:rFonts w:ascii="Times New Roman" w:hAnsi="Times New Roman" w:cs="Times New Roman"/>
          <w:i/>
          <w:sz w:val="24"/>
          <w:szCs w:val="24"/>
        </w:rPr>
        <w:t>13</w:t>
      </w:r>
      <w:r>
        <w:rPr>
          <w:rFonts w:ascii="Times New Roman" w:hAnsi="Times New Roman" w:cs="Times New Roman"/>
          <w:sz w:val="24"/>
          <w:szCs w:val="24"/>
        </w:rPr>
        <w:t xml:space="preserve">(1), 14-23. </w:t>
      </w:r>
      <w:hyperlink r:id="rId21" w:history="1">
        <w:r w:rsidR="00D55BE5" w:rsidRPr="00330F20">
          <w:rPr>
            <w:rStyle w:val="Hyperlink"/>
            <w:rFonts w:ascii="Times New Roman" w:hAnsi="Times New Roman" w:cs="Times New Roman"/>
            <w:color w:val="0070C0"/>
            <w:sz w:val="24"/>
            <w:szCs w:val="24"/>
          </w:rPr>
          <w:t>https://doi.org/10.1080/14733145.2012.728235</w:t>
        </w:r>
      </w:hyperlink>
      <w:r w:rsidR="00D55BE5" w:rsidRPr="00330F20">
        <w:rPr>
          <w:rFonts w:ascii="Times New Roman" w:hAnsi="Times New Roman" w:cs="Times New Roman"/>
          <w:color w:val="0070C0"/>
          <w:sz w:val="24"/>
          <w:szCs w:val="24"/>
        </w:rPr>
        <w:t xml:space="preserve"> </w:t>
      </w:r>
    </w:p>
    <w:p w14:paraId="59B97D18" w14:textId="4DD537DB" w:rsidR="009F4C13" w:rsidRPr="009F4C13" w:rsidRDefault="009F4C13" w:rsidP="009F4C13">
      <w:pPr>
        <w:spacing w:line="480" w:lineRule="auto"/>
        <w:ind w:left="720" w:hanging="720"/>
        <w:rPr>
          <w:rFonts w:ascii="Times New Roman" w:hAnsi="Times New Roman" w:cs="Times New Roman"/>
          <w:color w:val="000000"/>
          <w:sz w:val="24"/>
          <w:szCs w:val="24"/>
          <w:shd w:val="clear" w:color="auto" w:fill="FFFFFF"/>
        </w:rPr>
      </w:pPr>
      <w:r w:rsidRPr="009F4C13">
        <w:rPr>
          <w:rFonts w:ascii="Times New Roman" w:hAnsi="Times New Roman" w:cs="Times New Roman"/>
          <w:sz w:val="24"/>
          <w:szCs w:val="24"/>
        </w:rPr>
        <w:t xml:space="preserve">Mental Health Commission of Canada. (2013). </w:t>
      </w:r>
      <w:r w:rsidRPr="009F4C13">
        <w:rPr>
          <w:rFonts w:ascii="Times New Roman" w:hAnsi="Times New Roman" w:cs="Times New Roman"/>
          <w:i/>
          <w:color w:val="000000"/>
          <w:sz w:val="24"/>
          <w:szCs w:val="24"/>
          <w:shd w:val="clear" w:color="auto" w:fill="FFFFFF"/>
        </w:rPr>
        <w:t>National standard of Canada for psychological health and safety in the workplace</w:t>
      </w:r>
      <w:r w:rsidRPr="009F4C1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Mental Health Commission of Canada.</w:t>
      </w:r>
    </w:p>
    <w:p w14:paraId="63100388" w14:textId="3B43EFEF" w:rsidR="006D7516" w:rsidRDefault="006D7516" w:rsidP="007B1472">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t>Mintzer, J., Morrow, V. Y., Back-Tamburo, M., Sharar, D. A., &amp; Herlih</w:t>
      </w:r>
      <w:r w:rsidR="0084427E">
        <w:rPr>
          <w:rFonts w:ascii="Times New Roman" w:hAnsi="Times New Roman" w:cs="Times New Roman"/>
          <w:sz w:val="24"/>
          <w:szCs w:val="24"/>
        </w:rPr>
        <w:t>y, P. A. (2018). Demonstrating value: Measuring outcome &amp; mitigating r</w:t>
      </w:r>
      <w:r w:rsidRPr="006D7516">
        <w:rPr>
          <w:rFonts w:ascii="Times New Roman" w:hAnsi="Times New Roman" w:cs="Times New Roman"/>
          <w:sz w:val="24"/>
          <w:szCs w:val="24"/>
        </w:rPr>
        <w:t>is</w:t>
      </w:r>
      <w:r w:rsidR="0084427E">
        <w:rPr>
          <w:rFonts w:ascii="Times New Roman" w:hAnsi="Times New Roman" w:cs="Times New Roman"/>
          <w:sz w:val="24"/>
          <w:szCs w:val="24"/>
        </w:rPr>
        <w:t>k: FOH EAP study u</w:t>
      </w:r>
      <w:r w:rsidRPr="006D7516">
        <w:rPr>
          <w:rFonts w:ascii="Times New Roman" w:hAnsi="Times New Roman" w:cs="Times New Roman"/>
          <w:sz w:val="24"/>
          <w:szCs w:val="24"/>
        </w:rPr>
        <w:t xml:space="preserve">tilizing </w:t>
      </w:r>
      <w:r w:rsidRPr="006D7516">
        <w:rPr>
          <w:rFonts w:ascii="Times New Roman" w:hAnsi="Times New Roman" w:cs="Times New Roman"/>
          <w:sz w:val="24"/>
          <w:szCs w:val="24"/>
        </w:rPr>
        <w:lastRenderedPageBreak/>
        <w:t xml:space="preserve">the Workplace Outcome Suite. </w:t>
      </w:r>
      <w:r w:rsidRPr="0084427E">
        <w:rPr>
          <w:rFonts w:ascii="Times New Roman" w:hAnsi="Times New Roman" w:cs="Times New Roman"/>
          <w:i/>
          <w:sz w:val="24"/>
          <w:szCs w:val="24"/>
        </w:rPr>
        <w:t>International Journal of Health &amp; Productivity</w:t>
      </w:r>
      <w:r w:rsidR="0084427E">
        <w:rPr>
          <w:rFonts w:ascii="Times New Roman" w:hAnsi="Times New Roman" w:cs="Times New Roman"/>
          <w:sz w:val="24"/>
          <w:szCs w:val="24"/>
        </w:rPr>
        <w:t xml:space="preserve">, </w:t>
      </w:r>
      <w:r w:rsidR="0084427E" w:rsidRPr="0084427E">
        <w:rPr>
          <w:rFonts w:ascii="Times New Roman" w:hAnsi="Times New Roman" w:cs="Times New Roman"/>
          <w:i/>
          <w:sz w:val="24"/>
          <w:szCs w:val="24"/>
        </w:rPr>
        <w:t>10</w:t>
      </w:r>
      <w:r w:rsidR="0084427E">
        <w:rPr>
          <w:rFonts w:ascii="Times New Roman" w:hAnsi="Times New Roman" w:cs="Times New Roman"/>
          <w:sz w:val="24"/>
          <w:szCs w:val="24"/>
        </w:rPr>
        <w:t>(2),</w:t>
      </w:r>
      <w:r w:rsidR="0084427E" w:rsidRPr="0084427E">
        <w:rPr>
          <w:rFonts w:ascii="Times New Roman" w:hAnsi="Times New Roman" w:cs="Times New Roman"/>
          <w:sz w:val="24"/>
          <w:szCs w:val="24"/>
        </w:rPr>
        <w:t xml:space="preserve"> 28-34.</w:t>
      </w:r>
    </w:p>
    <w:p w14:paraId="326CFBE0" w14:textId="304D2D38" w:rsidR="009F4C13" w:rsidRPr="009F4C13" w:rsidRDefault="009F4C13" w:rsidP="009F4C13">
      <w:pPr>
        <w:tabs>
          <w:tab w:val="left" w:pos="0"/>
        </w:tabs>
        <w:suppressAutoHyphens/>
        <w:spacing w:line="480" w:lineRule="auto"/>
        <w:ind w:left="720" w:hanging="720"/>
        <w:jc w:val="both"/>
        <w:rPr>
          <w:rFonts w:ascii="Times New Roman" w:hAnsi="Times New Roman" w:cs="Times New Roman"/>
          <w:spacing w:val="-3"/>
          <w:sz w:val="24"/>
        </w:rPr>
      </w:pPr>
      <w:r w:rsidRPr="009F4C13">
        <w:rPr>
          <w:rFonts w:ascii="Times New Roman" w:hAnsi="Times New Roman" w:cs="Times New Roman"/>
          <w:spacing w:val="-3"/>
          <w:sz w:val="24"/>
        </w:rPr>
        <w:t>Mowry, S. (1996</w:t>
      </w:r>
      <w:r w:rsidRPr="009F4C13">
        <w:rPr>
          <w:rFonts w:ascii="Times New Roman" w:hAnsi="Times New Roman" w:cs="Times New Roman"/>
          <w:i/>
          <w:spacing w:val="-3"/>
          <w:sz w:val="24"/>
        </w:rPr>
        <w:t>). Prince Edward Island Public Sector Employee Assistance Program Evaluation.</w:t>
      </w:r>
      <w:r>
        <w:rPr>
          <w:rFonts w:ascii="Times New Roman" w:hAnsi="Times New Roman" w:cs="Times New Roman"/>
          <w:i/>
          <w:spacing w:val="-3"/>
          <w:sz w:val="24"/>
        </w:rPr>
        <w:t xml:space="preserve"> </w:t>
      </w:r>
      <w:r>
        <w:rPr>
          <w:rFonts w:ascii="Times New Roman" w:hAnsi="Times New Roman" w:cs="Times New Roman"/>
          <w:iCs/>
          <w:spacing w:val="-3"/>
          <w:sz w:val="24"/>
        </w:rPr>
        <w:t>Province of Prince Edward Island</w:t>
      </w:r>
      <w:r w:rsidRPr="009F4C13">
        <w:rPr>
          <w:rFonts w:ascii="Times New Roman" w:hAnsi="Times New Roman" w:cs="Times New Roman"/>
          <w:spacing w:val="-3"/>
          <w:sz w:val="24"/>
        </w:rPr>
        <w:t>.</w:t>
      </w:r>
    </w:p>
    <w:p w14:paraId="786457F0" w14:textId="77777777" w:rsidR="006D7516" w:rsidRDefault="006D7516" w:rsidP="007B1472">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t>Mugari, E. L., Mtapuri, O., &amp; Rangongo, M. (2014). Empl</w:t>
      </w:r>
      <w:r w:rsidR="00042618">
        <w:rPr>
          <w:rFonts w:ascii="Times New Roman" w:hAnsi="Times New Roman" w:cs="Times New Roman"/>
          <w:sz w:val="24"/>
          <w:szCs w:val="24"/>
        </w:rPr>
        <w:t>oyee Assistance Programme: The case of a local m</w:t>
      </w:r>
      <w:r w:rsidRPr="006D7516">
        <w:rPr>
          <w:rFonts w:ascii="Times New Roman" w:hAnsi="Times New Roman" w:cs="Times New Roman"/>
          <w:sz w:val="24"/>
          <w:szCs w:val="24"/>
        </w:rPr>
        <w:t xml:space="preserve">unicipality in South Africa. </w:t>
      </w:r>
      <w:r w:rsidRPr="00B5186C">
        <w:rPr>
          <w:rFonts w:ascii="Times New Roman" w:hAnsi="Times New Roman" w:cs="Times New Roman"/>
          <w:i/>
          <w:sz w:val="24"/>
          <w:szCs w:val="24"/>
        </w:rPr>
        <w:t>Journal of Social Sciences, 39</w:t>
      </w:r>
      <w:r w:rsidR="00B5186C">
        <w:rPr>
          <w:rFonts w:ascii="Times New Roman" w:hAnsi="Times New Roman" w:cs="Times New Roman"/>
          <w:sz w:val="24"/>
          <w:szCs w:val="24"/>
        </w:rPr>
        <w:t xml:space="preserve">(3), 257-263. </w:t>
      </w:r>
      <w:hyperlink r:id="rId22" w:history="1">
        <w:r w:rsidR="00B5186C" w:rsidRPr="00330F20">
          <w:rPr>
            <w:rStyle w:val="Hyperlink"/>
            <w:rFonts w:ascii="Times New Roman" w:hAnsi="Times New Roman" w:cs="Times New Roman"/>
            <w:color w:val="0070C0"/>
            <w:sz w:val="24"/>
            <w:szCs w:val="24"/>
          </w:rPr>
          <w:t>https://doi.org/10.1080/09718923.2014.11893288</w:t>
        </w:r>
      </w:hyperlink>
      <w:r w:rsidR="00B5186C" w:rsidRPr="00330F20">
        <w:rPr>
          <w:rFonts w:ascii="Times New Roman" w:hAnsi="Times New Roman" w:cs="Times New Roman"/>
          <w:color w:val="0070C0"/>
          <w:sz w:val="24"/>
          <w:szCs w:val="24"/>
        </w:rPr>
        <w:t xml:space="preserve"> </w:t>
      </w:r>
    </w:p>
    <w:p w14:paraId="3C8E82BB"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Nunes, A. P., Richmond, M. K., Pampel, F. C., &amp; Wood, R. C. (2018). The effect of employee assistance services on reductions in employee absenteeism. </w:t>
      </w:r>
      <w:r w:rsidRPr="00042618">
        <w:rPr>
          <w:rFonts w:ascii="Times New Roman" w:hAnsi="Times New Roman" w:cs="Times New Roman"/>
          <w:i/>
          <w:sz w:val="24"/>
          <w:szCs w:val="24"/>
        </w:rPr>
        <w:t>Journal of Business and Psychology, 33</w:t>
      </w:r>
      <w:r w:rsidR="00042618">
        <w:rPr>
          <w:rFonts w:ascii="Times New Roman" w:hAnsi="Times New Roman" w:cs="Times New Roman"/>
          <w:sz w:val="24"/>
          <w:szCs w:val="24"/>
        </w:rPr>
        <w:t xml:space="preserve">(6), 699-709. </w:t>
      </w:r>
      <w:hyperlink r:id="rId23" w:history="1">
        <w:r w:rsidR="00042618" w:rsidRPr="00330F20">
          <w:rPr>
            <w:rStyle w:val="Hyperlink"/>
            <w:rFonts w:ascii="Times New Roman" w:hAnsi="Times New Roman" w:cs="Times New Roman"/>
            <w:color w:val="0070C0"/>
            <w:sz w:val="24"/>
            <w:szCs w:val="24"/>
          </w:rPr>
          <w:t>https://doi.org/10.1007/s10869-017-9518-5</w:t>
        </w:r>
      </w:hyperlink>
      <w:r w:rsidR="00042618" w:rsidRPr="00330F20">
        <w:rPr>
          <w:rFonts w:ascii="Times New Roman" w:hAnsi="Times New Roman" w:cs="Times New Roman"/>
          <w:color w:val="0070C0"/>
          <w:sz w:val="24"/>
          <w:szCs w:val="24"/>
        </w:rPr>
        <w:t xml:space="preserve"> </w:t>
      </w:r>
    </w:p>
    <w:p w14:paraId="423A132E"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Li,</w:t>
      </w:r>
      <w:r w:rsidR="00042618">
        <w:rPr>
          <w:rFonts w:ascii="Times New Roman" w:hAnsi="Times New Roman" w:cs="Times New Roman"/>
          <w:sz w:val="24"/>
          <w:szCs w:val="24"/>
        </w:rPr>
        <w:t xml:space="preserve"> P., </w:t>
      </w:r>
      <w:r w:rsidRPr="006D7516">
        <w:rPr>
          <w:rFonts w:ascii="Times New Roman" w:hAnsi="Times New Roman" w:cs="Times New Roman"/>
          <w:sz w:val="24"/>
          <w:szCs w:val="24"/>
        </w:rPr>
        <w:t>Sharar,</w:t>
      </w:r>
      <w:r w:rsidR="00042618">
        <w:rPr>
          <w:rFonts w:ascii="Times New Roman" w:hAnsi="Times New Roman" w:cs="Times New Roman"/>
          <w:sz w:val="24"/>
          <w:szCs w:val="24"/>
        </w:rPr>
        <w:t xml:space="preserve"> D., </w:t>
      </w:r>
      <w:r w:rsidRPr="006D7516">
        <w:rPr>
          <w:rFonts w:ascii="Times New Roman" w:hAnsi="Times New Roman" w:cs="Times New Roman"/>
          <w:sz w:val="24"/>
          <w:szCs w:val="24"/>
        </w:rPr>
        <w:t>Lennox</w:t>
      </w:r>
      <w:r w:rsidR="00042618">
        <w:rPr>
          <w:rFonts w:ascii="Times New Roman" w:hAnsi="Times New Roman" w:cs="Times New Roman"/>
          <w:sz w:val="24"/>
          <w:szCs w:val="24"/>
        </w:rPr>
        <w:t xml:space="preserve">, R., &amp; </w:t>
      </w:r>
      <w:r w:rsidRPr="006D7516">
        <w:rPr>
          <w:rFonts w:ascii="Times New Roman" w:hAnsi="Times New Roman" w:cs="Times New Roman"/>
          <w:sz w:val="24"/>
          <w:szCs w:val="24"/>
        </w:rPr>
        <w:t>Zhuang</w:t>
      </w:r>
      <w:r w:rsidR="00042618">
        <w:rPr>
          <w:rFonts w:ascii="Times New Roman" w:hAnsi="Times New Roman" w:cs="Times New Roman"/>
          <w:sz w:val="24"/>
          <w:szCs w:val="24"/>
        </w:rPr>
        <w:t>, W.</w:t>
      </w:r>
      <w:r w:rsidRPr="006D7516">
        <w:rPr>
          <w:rFonts w:ascii="Times New Roman" w:hAnsi="Times New Roman" w:cs="Times New Roman"/>
          <w:sz w:val="24"/>
          <w:szCs w:val="24"/>
        </w:rPr>
        <w:t xml:space="preserve"> (2015)</w:t>
      </w:r>
      <w:r w:rsidR="00042618">
        <w:rPr>
          <w:rFonts w:ascii="Times New Roman" w:hAnsi="Times New Roman" w:cs="Times New Roman"/>
          <w:sz w:val="24"/>
          <w:szCs w:val="24"/>
        </w:rPr>
        <w:t>. Evaluating EAP counseling in the Chinese workplace: A study with a brief instrument.</w:t>
      </w:r>
      <w:r w:rsidRPr="006D7516">
        <w:rPr>
          <w:rFonts w:ascii="Times New Roman" w:hAnsi="Times New Roman" w:cs="Times New Roman"/>
          <w:sz w:val="24"/>
          <w:szCs w:val="24"/>
        </w:rPr>
        <w:t xml:space="preserve"> </w:t>
      </w:r>
      <w:r w:rsidRPr="00042618">
        <w:rPr>
          <w:rFonts w:ascii="Times New Roman" w:hAnsi="Times New Roman" w:cs="Times New Roman"/>
          <w:i/>
          <w:sz w:val="24"/>
          <w:szCs w:val="24"/>
        </w:rPr>
        <w:t>Journal of Workplace Behavioral Health, 30</w:t>
      </w:r>
      <w:r w:rsidR="00042618">
        <w:rPr>
          <w:rFonts w:ascii="Times New Roman" w:hAnsi="Times New Roman" w:cs="Times New Roman"/>
          <w:sz w:val="24"/>
          <w:szCs w:val="24"/>
        </w:rPr>
        <w:t>(</w:t>
      </w:r>
      <w:r w:rsidRPr="006D7516">
        <w:rPr>
          <w:rFonts w:ascii="Times New Roman" w:hAnsi="Times New Roman" w:cs="Times New Roman"/>
          <w:sz w:val="24"/>
          <w:szCs w:val="24"/>
        </w:rPr>
        <w:t>1-2</w:t>
      </w:r>
      <w:r w:rsidR="00042618">
        <w:rPr>
          <w:rFonts w:ascii="Times New Roman" w:hAnsi="Times New Roman" w:cs="Times New Roman"/>
          <w:sz w:val="24"/>
          <w:szCs w:val="24"/>
        </w:rPr>
        <w:t xml:space="preserve">), 66-78. </w:t>
      </w:r>
      <w:hyperlink r:id="rId24" w:history="1">
        <w:r w:rsidR="00042618" w:rsidRPr="00330F20">
          <w:rPr>
            <w:rStyle w:val="Hyperlink"/>
            <w:rFonts w:ascii="Times New Roman" w:hAnsi="Times New Roman" w:cs="Times New Roman"/>
            <w:color w:val="0070C0"/>
            <w:sz w:val="24"/>
            <w:szCs w:val="24"/>
          </w:rPr>
          <w:t>https://doi.org/10.1080/15555240.2015.1000143</w:t>
        </w:r>
      </w:hyperlink>
      <w:r w:rsidR="00042618" w:rsidRPr="00330F20">
        <w:rPr>
          <w:rFonts w:ascii="Times New Roman" w:hAnsi="Times New Roman" w:cs="Times New Roman"/>
          <w:color w:val="0070C0"/>
          <w:sz w:val="24"/>
          <w:szCs w:val="24"/>
        </w:rPr>
        <w:t xml:space="preserve"> </w:t>
      </w:r>
    </w:p>
    <w:p w14:paraId="48FE9DFB" w14:textId="77777777" w:rsidR="006D7516" w:rsidRDefault="006D7516" w:rsidP="007B1472">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t>Pollack, K. M., McKay, T., Cumminskey, C., Clinton-Sherrod, A. M., Lindqu</w:t>
      </w:r>
      <w:r w:rsidR="00AC29D4">
        <w:rPr>
          <w:rFonts w:ascii="Times New Roman" w:hAnsi="Times New Roman" w:cs="Times New Roman"/>
          <w:sz w:val="24"/>
          <w:szCs w:val="24"/>
        </w:rPr>
        <w:t xml:space="preserve">ist, C. H., Lasater, B. M., Hardison Walters, J. L., Krotki, K., </w:t>
      </w:r>
      <w:r w:rsidRPr="006D7516">
        <w:rPr>
          <w:rFonts w:ascii="Times New Roman" w:hAnsi="Times New Roman" w:cs="Times New Roman"/>
          <w:sz w:val="24"/>
          <w:szCs w:val="24"/>
        </w:rPr>
        <w:t xml:space="preserve">&amp; Grisso, J. A. (2010). Employee assistance program services for intimate partner violence and client satisfaction with these services. </w:t>
      </w:r>
      <w:r w:rsidRPr="00F027C8">
        <w:rPr>
          <w:rFonts w:ascii="Times New Roman" w:hAnsi="Times New Roman" w:cs="Times New Roman"/>
          <w:i/>
          <w:sz w:val="24"/>
          <w:szCs w:val="24"/>
        </w:rPr>
        <w:t>Journal of occupational and environmental medicine, 52</w:t>
      </w:r>
      <w:r w:rsidRPr="006D7516">
        <w:rPr>
          <w:rFonts w:ascii="Times New Roman" w:hAnsi="Times New Roman" w:cs="Times New Roman"/>
          <w:sz w:val="24"/>
          <w:szCs w:val="24"/>
        </w:rPr>
        <w:t>(8), 819-826.</w:t>
      </w:r>
      <w:r w:rsidR="00F027C8">
        <w:rPr>
          <w:rFonts w:ascii="Times New Roman" w:hAnsi="Times New Roman" w:cs="Times New Roman"/>
          <w:sz w:val="24"/>
          <w:szCs w:val="24"/>
        </w:rPr>
        <w:t xml:space="preserve"> </w:t>
      </w:r>
      <w:hyperlink r:id="rId25" w:history="1">
        <w:r w:rsidR="00F027C8" w:rsidRPr="00330F20">
          <w:rPr>
            <w:rStyle w:val="Hyperlink"/>
            <w:rFonts w:ascii="Times New Roman" w:hAnsi="Times New Roman" w:cs="Times New Roman"/>
            <w:color w:val="0070C0"/>
            <w:sz w:val="24"/>
            <w:szCs w:val="24"/>
          </w:rPr>
          <w:t>https://doi.org/10.1097/JOM.0b013e3181ebada6</w:t>
        </w:r>
      </w:hyperlink>
      <w:r w:rsidR="00F027C8">
        <w:rPr>
          <w:rFonts w:ascii="Times New Roman" w:hAnsi="Times New Roman" w:cs="Times New Roman"/>
          <w:sz w:val="24"/>
          <w:szCs w:val="24"/>
        </w:rPr>
        <w:t xml:space="preserve">   </w:t>
      </w:r>
    </w:p>
    <w:p w14:paraId="6AFF90F4" w14:textId="77777777" w:rsidR="006D7516" w:rsidRDefault="006D7516" w:rsidP="007B1472">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t>Rakepa, T. T., &amp; Uys, F. M. (2013). A critical evaluation of an employee health and wellness programme of the Department of Education: a case study of the Motheo District in the Free State Province.</w:t>
      </w:r>
      <w:r w:rsidR="007F3A43">
        <w:rPr>
          <w:rFonts w:ascii="Times New Roman" w:hAnsi="Times New Roman" w:cs="Times New Roman"/>
          <w:sz w:val="24"/>
          <w:szCs w:val="24"/>
        </w:rPr>
        <w:t xml:space="preserve"> </w:t>
      </w:r>
      <w:r w:rsidR="007F3A43" w:rsidRPr="007F3A43">
        <w:rPr>
          <w:rFonts w:ascii="Times New Roman" w:hAnsi="Times New Roman" w:cs="Times New Roman"/>
          <w:i/>
          <w:sz w:val="24"/>
          <w:szCs w:val="24"/>
        </w:rPr>
        <w:t>African Journal of Public Affairs, 6</w:t>
      </w:r>
      <w:r w:rsidR="007F3A43">
        <w:rPr>
          <w:rFonts w:ascii="Times New Roman" w:hAnsi="Times New Roman" w:cs="Times New Roman"/>
          <w:sz w:val="24"/>
          <w:szCs w:val="24"/>
        </w:rPr>
        <w:t>(3), 24-37.</w:t>
      </w:r>
    </w:p>
    <w:p w14:paraId="6968DA9F"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lastRenderedPageBreak/>
        <w:t xml:space="preserve">Richmond, M. K., Pampel, F. C., Wood, R. C., &amp; Nunes, A. P. (2016). Impact of employee assistance services on depression, anxiety, and risky alcohol use: A quasi-experimental study. </w:t>
      </w:r>
      <w:r w:rsidRPr="008F5A02">
        <w:rPr>
          <w:rFonts w:ascii="Times New Roman" w:hAnsi="Times New Roman" w:cs="Times New Roman"/>
          <w:i/>
          <w:sz w:val="24"/>
          <w:szCs w:val="24"/>
        </w:rPr>
        <w:t>Journal of Occupational and Environmental</w:t>
      </w:r>
      <w:r w:rsidR="008F5A02" w:rsidRPr="008F5A02">
        <w:rPr>
          <w:rFonts w:ascii="Times New Roman" w:hAnsi="Times New Roman" w:cs="Times New Roman"/>
          <w:i/>
          <w:sz w:val="24"/>
          <w:szCs w:val="24"/>
        </w:rPr>
        <w:t xml:space="preserve"> Medicine, 58</w:t>
      </w:r>
      <w:r w:rsidR="008F5A02">
        <w:rPr>
          <w:rFonts w:ascii="Times New Roman" w:hAnsi="Times New Roman" w:cs="Times New Roman"/>
          <w:sz w:val="24"/>
          <w:szCs w:val="24"/>
        </w:rPr>
        <w:t xml:space="preserve">(7), 641-650. </w:t>
      </w:r>
      <w:hyperlink r:id="rId26" w:history="1">
        <w:r w:rsidR="008F5A02" w:rsidRPr="00330F20">
          <w:rPr>
            <w:rStyle w:val="Hyperlink"/>
            <w:rFonts w:ascii="Times New Roman" w:hAnsi="Times New Roman" w:cs="Times New Roman"/>
            <w:color w:val="0070C0"/>
            <w:sz w:val="24"/>
            <w:szCs w:val="24"/>
          </w:rPr>
          <w:t>https://doi.org/10.1097/JOM.0000000000000744</w:t>
        </w:r>
      </w:hyperlink>
      <w:r w:rsidR="008F5A02" w:rsidRPr="00330F20">
        <w:rPr>
          <w:rFonts w:ascii="Times New Roman" w:hAnsi="Times New Roman" w:cs="Times New Roman"/>
          <w:color w:val="0070C0"/>
          <w:sz w:val="24"/>
          <w:szCs w:val="24"/>
        </w:rPr>
        <w:t xml:space="preserve"> </w:t>
      </w:r>
    </w:p>
    <w:p w14:paraId="7697FADF" w14:textId="71A7A031" w:rsidR="006D7516"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Richmond, M. K., Pampel, F. C., Wood, R. C., &amp; Nunes, A. P. (2017). The impact of employee assistance services on workplace outcomes: Results of a prospective, quasi-experimental study. </w:t>
      </w:r>
      <w:r w:rsidRPr="008F5A02">
        <w:rPr>
          <w:rFonts w:ascii="Times New Roman" w:hAnsi="Times New Roman" w:cs="Times New Roman"/>
          <w:i/>
          <w:sz w:val="24"/>
          <w:szCs w:val="24"/>
        </w:rPr>
        <w:t>Journal of occupational health psychology, 22</w:t>
      </w:r>
      <w:r w:rsidR="008F5A02">
        <w:rPr>
          <w:rFonts w:ascii="Times New Roman" w:hAnsi="Times New Roman" w:cs="Times New Roman"/>
          <w:sz w:val="24"/>
          <w:szCs w:val="24"/>
        </w:rPr>
        <w:t xml:space="preserve">(2), 170. </w:t>
      </w:r>
      <w:hyperlink r:id="rId27" w:history="1">
        <w:r w:rsidR="008F5A02" w:rsidRPr="00330F20">
          <w:rPr>
            <w:rStyle w:val="Hyperlink"/>
            <w:rFonts w:ascii="Times New Roman" w:hAnsi="Times New Roman" w:cs="Times New Roman"/>
            <w:color w:val="0070C0"/>
            <w:sz w:val="24"/>
            <w:szCs w:val="24"/>
          </w:rPr>
          <w:t>https://doi.org/10.1037/ocp0000018</w:t>
        </w:r>
      </w:hyperlink>
      <w:r w:rsidR="008F5A02" w:rsidRPr="00330F20">
        <w:rPr>
          <w:rFonts w:ascii="Times New Roman" w:hAnsi="Times New Roman" w:cs="Times New Roman"/>
          <w:color w:val="0070C0"/>
          <w:sz w:val="24"/>
          <w:szCs w:val="24"/>
        </w:rPr>
        <w:t xml:space="preserve"> </w:t>
      </w:r>
    </w:p>
    <w:p w14:paraId="61131D6C" w14:textId="77777777" w:rsidR="00E24658" w:rsidRPr="00226BD9" w:rsidRDefault="00E24658" w:rsidP="00E24658">
      <w:pPr>
        <w:tabs>
          <w:tab w:val="left" w:pos="-720"/>
        </w:tabs>
        <w:suppressAutoHyphens/>
        <w:spacing w:line="480" w:lineRule="auto"/>
        <w:ind w:left="720" w:hanging="720"/>
        <w:jc w:val="both"/>
        <w:rPr>
          <w:rFonts w:ascii="Times New Roman" w:hAnsi="Times New Roman" w:cs="Times New Roman"/>
          <w:spacing w:val="-3"/>
          <w:sz w:val="24"/>
          <w:szCs w:val="24"/>
          <w:lang w:val="en-GB"/>
        </w:rPr>
      </w:pPr>
      <w:r w:rsidRPr="00226BD9">
        <w:rPr>
          <w:rFonts w:ascii="Times New Roman" w:hAnsi="Times New Roman" w:cs="Times New Roman"/>
          <w:spacing w:val="-3"/>
          <w:sz w:val="24"/>
          <w:szCs w:val="24"/>
          <w:lang w:val="en-GB"/>
        </w:rPr>
        <w:t>Shain, M</w:t>
      </w:r>
      <w:r>
        <w:rPr>
          <w:rFonts w:ascii="Times New Roman" w:hAnsi="Times New Roman" w:cs="Times New Roman"/>
          <w:spacing w:val="-3"/>
          <w:sz w:val="24"/>
          <w:szCs w:val="24"/>
          <w:lang w:val="en-GB"/>
        </w:rPr>
        <w:t xml:space="preserve">. </w:t>
      </w:r>
      <w:r w:rsidRPr="00226BD9">
        <w:rPr>
          <w:rFonts w:ascii="Times New Roman" w:hAnsi="Times New Roman" w:cs="Times New Roman"/>
          <w:spacing w:val="-3"/>
          <w:sz w:val="24"/>
          <w:szCs w:val="24"/>
          <w:lang w:val="en-GB"/>
        </w:rPr>
        <w:t xml:space="preserve">(1989) Development of a </w:t>
      </w:r>
      <w:r>
        <w:rPr>
          <w:rFonts w:ascii="Times New Roman" w:hAnsi="Times New Roman" w:cs="Times New Roman"/>
          <w:spacing w:val="-3"/>
          <w:sz w:val="24"/>
          <w:szCs w:val="24"/>
          <w:lang w:val="en-GB"/>
        </w:rPr>
        <w:t>c</w:t>
      </w:r>
      <w:r w:rsidRPr="00226BD9">
        <w:rPr>
          <w:rFonts w:ascii="Times New Roman" w:hAnsi="Times New Roman" w:cs="Times New Roman"/>
          <w:spacing w:val="-3"/>
          <w:sz w:val="24"/>
          <w:szCs w:val="24"/>
          <w:lang w:val="en-GB"/>
        </w:rPr>
        <w:t xml:space="preserve">omprehensive </w:t>
      </w:r>
      <w:r>
        <w:rPr>
          <w:rFonts w:ascii="Times New Roman" w:hAnsi="Times New Roman" w:cs="Times New Roman"/>
          <w:spacing w:val="-3"/>
          <w:sz w:val="24"/>
          <w:szCs w:val="24"/>
          <w:lang w:val="en-GB"/>
        </w:rPr>
        <w:t>r</w:t>
      </w:r>
      <w:r w:rsidRPr="00226BD9">
        <w:rPr>
          <w:rFonts w:ascii="Times New Roman" w:hAnsi="Times New Roman" w:cs="Times New Roman"/>
          <w:spacing w:val="-3"/>
          <w:sz w:val="24"/>
          <w:szCs w:val="24"/>
          <w:lang w:val="en-GB"/>
        </w:rPr>
        <w:t xml:space="preserve">esponse to </w:t>
      </w:r>
      <w:r>
        <w:rPr>
          <w:rFonts w:ascii="Times New Roman" w:hAnsi="Times New Roman" w:cs="Times New Roman"/>
          <w:spacing w:val="-3"/>
          <w:sz w:val="24"/>
          <w:szCs w:val="24"/>
          <w:lang w:val="en-GB"/>
        </w:rPr>
        <w:t>p</w:t>
      </w:r>
      <w:r w:rsidRPr="00226BD9">
        <w:rPr>
          <w:rFonts w:ascii="Times New Roman" w:hAnsi="Times New Roman" w:cs="Times New Roman"/>
          <w:spacing w:val="-3"/>
          <w:sz w:val="24"/>
          <w:szCs w:val="24"/>
          <w:lang w:val="en-GB"/>
        </w:rPr>
        <w:t xml:space="preserve">revention and </w:t>
      </w:r>
      <w:r>
        <w:rPr>
          <w:rFonts w:ascii="Times New Roman" w:hAnsi="Times New Roman" w:cs="Times New Roman"/>
          <w:spacing w:val="-3"/>
          <w:sz w:val="24"/>
          <w:szCs w:val="24"/>
          <w:lang w:val="en-GB"/>
        </w:rPr>
        <w:t>t</w:t>
      </w:r>
      <w:r w:rsidRPr="00226BD9">
        <w:rPr>
          <w:rFonts w:ascii="Times New Roman" w:hAnsi="Times New Roman" w:cs="Times New Roman"/>
          <w:spacing w:val="-3"/>
          <w:sz w:val="24"/>
          <w:szCs w:val="24"/>
          <w:lang w:val="en-GB"/>
        </w:rPr>
        <w:t xml:space="preserve">reatment of </w:t>
      </w:r>
      <w:r>
        <w:rPr>
          <w:rFonts w:ascii="Times New Roman" w:hAnsi="Times New Roman" w:cs="Times New Roman"/>
          <w:spacing w:val="-3"/>
          <w:sz w:val="24"/>
          <w:szCs w:val="24"/>
          <w:lang w:val="en-GB"/>
        </w:rPr>
        <w:t>s</w:t>
      </w:r>
      <w:r w:rsidRPr="00226BD9">
        <w:rPr>
          <w:rFonts w:ascii="Times New Roman" w:hAnsi="Times New Roman" w:cs="Times New Roman"/>
          <w:spacing w:val="-3"/>
          <w:sz w:val="24"/>
          <w:szCs w:val="24"/>
          <w:lang w:val="en-GB"/>
        </w:rPr>
        <w:t xml:space="preserve">ubstance </w:t>
      </w:r>
      <w:r>
        <w:rPr>
          <w:rFonts w:ascii="Times New Roman" w:hAnsi="Times New Roman" w:cs="Times New Roman"/>
          <w:spacing w:val="-3"/>
          <w:sz w:val="24"/>
          <w:szCs w:val="24"/>
          <w:lang w:val="en-GB"/>
        </w:rPr>
        <w:t>a</w:t>
      </w:r>
      <w:r w:rsidRPr="00226BD9">
        <w:rPr>
          <w:rFonts w:ascii="Times New Roman" w:hAnsi="Times New Roman" w:cs="Times New Roman"/>
          <w:spacing w:val="-3"/>
          <w:sz w:val="24"/>
          <w:szCs w:val="24"/>
          <w:lang w:val="en-GB"/>
        </w:rPr>
        <w:t xml:space="preserve">buse in the </w:t>
      </w:r>
      <w:r>
        <w:rPr>
          <w:rFonts w:ascii="Times New Roman" w:hAnsi="Times New Roman" w:cs="Times New Roman"/>
          <w:spacing w:val="-3"/>
          <w:sz w:val="24"/>
          <w:szCs w:val="24"/>
          <w:lang w:val="en-GB"/>
        </w:rPr>
        <w:t>w</w:t>
      </w:r>
      <w:r w:rsidRPr="00226BD9">
        <w:rPr>
          <w:rFonts w:ascii="Times New Roman" w:hAnsi="Times New Roman" w:cs="Times New Roman"/>
          <w:spacing w:val="-3"/>
          <w:sz w:val="24"/>
          <w:szCs w:val="24"/>
          <w:lang w:val="en-GB"/>
        </w:rPr>
        <w:t>orkplace</w:t>
      </w:r>
      <w:r>
        <w:rPr>
          <w:rFonts w:ascii="Times New Roman" w:hAnsi="Times New Roman" w:cs="Times New Roman"/>
          <w:spacing w:val="-3"/>
          <w:sz w:val="24"/>
          <w:szCs w:val="24"/>
          <w:lang w:val="en-GB"/>
        </w:rPr>
        <w:t xml:space="preserve">. </w:t>
      </w:r>
      <w:r w:rsidRPr="00226BD9">
        <w:rPr>
          <w:rFonts w:ascii="Times New Roman" w:hAnsi="Times New Roman" w:cs="Times New Roman"/>
          <w:i/>
          <w:iCs/>
          <w:spacing w:val="-3"/>
          <w:sz w:val="24"/>
          <w:szCs w:val="24"/>
          <w:u w:val="single"/>
          <w:lang w:val="en-GB"/>
        </w:rPr>
        <w:t>Shaping the futur</w:t>
      </w:r>
      <w:r w:rsidRPr="00226BD9">
        <w:rPr>
          <w:rFonts w:ascii="Times New Roman" w:hAnsi="Times New Roman" w:cs="Times New Roman"/>
          <w:spacing w:val="-3"/>
          <w:sz w:val="24"/>
          <w:szCs w:val="24"/>
          <w:u w:val="single"/>
          <w:lang w:val="en-GB"/>
        </w:rPr>
        <w:t>e</w:t>
      </w:r>
      <w:r>
        <w:rPr>
          <w:rFonts w:ascii="Times New Roman" w:hAnsi="Times New Roman" w:cs="Times New Roman"/>
          <w:spacing w:val="-3"/>
          <w:sz w:val="24"/>
          <w:szCs w:val="24"/>
          <w:u w:val="single"/>
          <w:lang w:val="en-GB"/>
        </w:rPr>
        <w:t xml:space="preserve">. </w:t>
      </w:r>
      <w:r w:rsidRPr="00226BD9">
        <w:rPr>
          <w:rFonts w:ascii="Times New Roman" w:hAnsi="Times New Roman" w:cs="Times New Roman"/>
          <w:spacing w:val="-3"/>
          <w:sz w:val="24"/>
          <w:szCs w:val="24"/>
          <w:lang w:val="en-GB"/>
        </w:rPr>
        <w:t>Addiction Research Foundation.</w:t>
      </w:r>
    </w:p>
    <w:p w14:paraId="4DC34CB8" w14:textId="77777777" w:rsidR="009F4C13" w:rsidRPr="009F4C13" w:rsidRDefault="009F4C13" w:rsidP="009F4C13">
      <w:pPr>
        <w:spacing w:line="480" w:lineRule="auto"/>
        <w:ind w:left="720" w:hanging="720"/>
        <w:rPr>
          <w:rFonts w:ascii="Times New Roman" w:hAnsi="Times New Roman" w:cs="Times New Roman"/>
          <w:color w:val="0070C0"/>
          <w:sz w:val="24"/>
          <w:szCs w:val="24"/>
        </w:rPr>
      </w:pPr>
      <w:r w:rsidRPr="00226BD9">
        <w:rPr>
          <w:rFonts w:ascii="Times New Roman" w:hAnsi="Times New Roman" w:cs="Times New Roman"/>
          <w:spacing w:val="-3"/>
          <w:sz w:val="24"/>
          <w:szCs w:val="24"/>
          <w:lang w:val="en-GB"/>
        </w:rPr>
        <w:t>Shain, M</w:t>
      </w:r>
      <w:r>
        <w:rPr>
          <w:rFonts w:ascii="Times New Roman" w:hAnsi="Times New Roman" w:cs="Times New Roman"/>
          <w:spacing w:val="-3"/>
          <w:sz w:val="24"/>
          <w:szCs w:val="24"/>
          <w:lang w:val="en-GB"/>
        </w:rPr>
        <w:t xml:space="preserve">., </w:t>
      </w:r>
      <w:r w:rsidRPr="00226BD9">
        <w:rPr>
          <w:rFonts w:ascii="Times New Roman" w:hAnsi="Times New Roman" w:cs="Times New Roman"/>
          <w:spacing w:val="-3"/>
          <w:sz w:val="24"/>
          <w:szCs w:val="24"/>
          <w:lang w:val="en-GB"/>
        </w:rPr>
        <w:t>Suurvali, H</w:t>
      </w:r>
      <w:r>
        <w:rPr>
          <w:rFonts w:ascii="Times New Roman" w:hAnsi="Times New Roman" w:cs="Times New Roman"/>
          <w:spacing w:val="-3"/>
          <w:sz w:val="24"/>
          <w:szCs w:val="24"/>
          <w:lang w:val="en-GB"/>
        </w:rPr>
        <w:t>.,</w:t>
      </w:r>
      <w:r w:rsidRPr="00226BD9">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 xml:space="preserve">&amp; </w:t>
      </w:r>
      <w:r w:rsidRPr="00226BD9">
        <w:rPr>
          <w:rFonts w:ascii="Times New Roman" w:hAnsi="Times New Roman" w:cs="Times New Roman"/>
          <w:spacing w:val="-3"/>
          <w:sz w:val="24"/>
          <w:szCs w:val="24"/>
          <w:lang w:val="en-GB"/>
        </w:rPr>
        <w:t>Boutlier, M</w:t>
      </w:r>
      <w:r>
        <w:rPr>
          <w:rFonts w:ascii="Times New Roman" w:hAnsi="Times New Roman" w:cs="Times New Roman"/>
          <w:spacing w:val="-3"/>
          <w:sz w:val="24"/>
          <w:szCs w:val="24"/>
          <w:lang w:val="en-GB"/>
        </w:rPr>
        <w:t xml:space="preserve">. </w:t>
      </w:r>
      <w:r w:rsidRPr="00226BD9">
        <w:rPr>
          <w:rFonts w:ascii="Times New Roman" w:hAnsi="Times New Roman" w:cs="Times New Roman"/>
          <w:spacing w:val="-3"/>
          <w:sz w:val="24"/>
          <w:szCs w:val="24"/>
          <w:lang w:val="en-GB"/>
        </w:rPr>
        <w:t xml:space="preserve">(1986) </w:t>
      </w:r>
      <w:r w:rsidRPr="00226BD9">
        <w:rPr>
          <w:rFonts w:ascii="Times New Roman" w:hAnsi="Times New Roman" w:cs="Times New Roman"/>
          <w:i/>
          <w:iCs/>
          <w:spacing w:val="-3"/>
          <w:sz w:val="24"/>
          <w:szCs w:val="24"/>
          <w:u w:val="single"/>
          <w:lang w:val="en-GB"/>
        </w:rPr>
        <w:t>Healthier workers: Health promotion and Employee Assistance Programs</w:t>
      </w:r>
      <w:r>
        <w:rPr>
          <w:rFonts w:ascii="Times New Roman" w:hAnsi="Times New Roman" w:cs="Times New Roman"/>
          <w:spacing w:val="-3"/>
          <w:sz w:val="24"/>
          <w:szCs w:val="24"/>
          <w:u w:val="single"/>
          <w:lang w:val="en-GB"/>
        </w:rPr>
        <w:t xml:space="preserve">. </w:t>
      </w:r>
      <w:r w:rsidRPr="00226BD9">
        <w:rPr>
          <w:rFonts w:ascii="Times New Roman" w:hAnsi="Times New Roman" w:cs="Times New Roman"/>
          <w:spacing w:val="-3"/>
          <w:sz w:val="24"/>
          <w:szCs w:val="24"/>
          <w:lang w:val="en-GB"/>
        </w:rPr>
        <w:t>D.C. Heath</w:t>
      </w:r>
    </w:p>
    <w:p w14:paraId="3F80398B" w14:textId="77777777" w:rsidR="006D7516" w:rsidRDefault="006D7516" w:rsidP="007B1472">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t>Sharar, D. A., &amp; Lennox, R. (2014). The workplace effects of EAP use:</w:t>
      </w:r>
      <w:r w:rsidR="005E44DD">
        <w:rPr>
          <w:rFonts w:ascii="Times New Roman" w:hAnsi="Times New Roman" w:cs="Times New Roman"/>
          <w:sz w:val="24"/>
          <w:szCs w:val="24"/>
        </w:rPr>
        <w:t xml:space="preserve"> </w:t>
      </w:r>
      <w:r w:rsidRPr="006D7516">
        <w:rPr>
          <w:rFonts w:ascii="Times New Roman" w:hAnsi="Times New Roman" w:cs="Times New Roman"/>
          <w:sz w:val="24"/>
          <w:szCs w:val="24"/>
        </w:rPr>
        <w:t xml:space="preserve">“Pooled” results from 20 different EAPs with before and after WOS 5-item data. </w:t>
      </w:r>
      <w:r w:rsidRPr="005E44DD">
        <w:rPr>
          <w:rFonts w:ascii="Times New Roman" w:hAnsi="Times New Roman" w:cs="Times New Roman"/>
          <w:i/>
          <w:sz w:val="24"/>
          <w:szCs w:val="24"/>
        </w:rPr>
        <w:t>EASNA Research Notes, 4</w:t>
      </w:r>
      <w:r w:rsidRPr="006D7516">
        <w:rPr>
          <w:rFonts w:ascii="Times New Roman" w:hAnsi="Times New Roman" w:cs="Times New Roman"/>
          <w:sz w:val="24"/>
          <w:szCs w:val="24"/>
        </w:rPr>
        <w:t>(1), 1-5.</w:t>
      </w:r>
    </w:p>
    <w:p w14:paraId="352C5F24" w14:textId="77777777" w:rsidR="006D7516" w:rsidRDefault="006D7516" w:rsidP="007B1472">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t>Sharar, D. A., Pompe, J. C., &amp; Lennox, R. (2012). Evaluating the workplace effects of EAP counseling.</w:t>
      </w:r>
      <w:r w:rsidR="005E44DD">
        <w:rPr>
          <w:rFonts w:ascii="Times New Roman" w:hAnsi="Times New Roman" w:cs="Times New Roman"/>
          <w:sz w:val="24"/>
          <w:szCs w:val="24"/>
        </w:rPr>
        <w:t xml:space="preserve"> </w:t>
      </w:r>
      <w:r w:rsidR="005E44DD" w:rsidRPr="005E44DD">
        <w:rPr>
          <w:rFonts w:ascii="Times New Roman" w:hAnsi="Times New Roman" w:cs="Times New Roman"/>
          <w:i/>
          <w:sz w:val="24"/>
          <w:szCs w:val="24"/>
        </w:rPr>
        <w:t>Journal of Health &amp; Productivity, 6</w:t>
      </w:r>
      <w:r w:rsidR="005E44DD" w:rsidRPr="005E44DD">
        <w:rPr>
          <w:rFonts w:ascii="Times New Roman" w:hAnsi="Times New Roman" w:cs="Times New Roman"/>
          <w:sz w:val="24"/>
          <w:szCs w:val="24"/>
        </w:rPr>
        <w:t>(2), 5-14.</w:t>
      </w:r>
    </w:p>
    <w:p w14:paraId="024AB329"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Sieberhagen, C.,</w:t>
      </w:r>
      <w:r w:rsidR="0041485A">
        <w:rPr>
          <w:rFonts w:ascii="Times New Roman" w:hAnsi="Times New Roman" w:cs="Times New Roman"/>
          <w:sz w:val="24"/>
          <w:szCs w:val="24"/>
        </w:rPr>
        <w:t xml:space="preserve"> </w:t>
      </w:r>
      <w:r w:rsidRPr="006D7516">
        <w:rPr>
          <w:rFonts w:ascii="Times New Roman" w:hAnsi="Times New Roman" w:cs="Times New Roman"/>
          <w:sz w:val="24"/>
          <w:szCs w:val="24"/>
        </w:rPr>
        <w:t>Pienaar, J.</w:t>
      </w:r>
      <w:r w:rsidR="0041485A">
        <w:rPr>
          <w:rFonts w:ascii="Times New Roman" w:hAnsi="Times New Roman" w:cs="Times New Roman"/>
          <w:sz w:val="24"/>
          <w:szCs w:val="24"/>
        </w:rPr>
        <w:t>, &amp;</w:t>
      </w:r>
      <w:r w:rsidRPr="006D7516">
        <w:rPr>
          <w:rFonts w:ascii="Times New Roman" w:hAnsi="Times New Roman" w:cs="Times New Roman"/>
          <w:sz w:val="24"/>
          <w:szCs w:val="24"/>
        </w:rPr>
        <w:t xml:space="preserve"> </w:t>
      </w:r>
      <w:r w:rsidR="0041485A" w:rsidRPr="006D7516">
        <w:rPr>
          <w:rFonts w:ascii="Times New Roman" w:hAnsi="Times New Roman" w:cs="Times New Roman"/>
          <w:sz w:val="24"/>
          <w:szCs w:val="24"/>
        </w:rPr>
        <w:t>Els, C</w:t>
      </w:r>
      <w:r w:rsidR="0041485A">
        <w:rPr>
          <w:rFonts w:ascii="Times New Roman" w:hAnsi="Times New Roman" w:cs="Times New Roman"/>
          <w:sz w:val="24"/>
          <w:szCs w:val="24"/>
        </w:rPr>
        <w:t>.</w:t>
      </w:r>
      <w:r w:rsidR="0041485A" w:rsidRPr="006D7516">
        <w:rPr>
          <w:rFonts w:ascii="Times New Roman" w:hAnsi="Times New Roman" w:cs="Times New Roman"/>
          <w:sz w:val="24"/>
          <w:szCs w:val="24"/>
        </w:rPr>
        <w:t xml:space="preserve"> </w:t>
      </w:r>
      <w:r w:rsidRPr="006D7516">
        <w:rPr>
          <w:rFonts w:ascii="Times New Roman" w:hAnsi="Times New Roman" w:cs="Times New Roman"/>
          <w:sz w:val="24"/>
          <w:szCs w:val="24"/>
        </w:rPr>
        <w:t xml:space="preserve">(2011). Management of employee wellness in South Africa: Employer, service provider and union perspectives. </w:t>
      </w:r>
      <w:r w:rsidRPr="0041485A">
        <w:rPr>
          <w:rFonts w:ascii="Times New Roman" w:hAnsi="Times New Roman" w:cs="Times New Roman"/>
          <w:i/>
          <w:sz w:val="24"/>
          <w:szCs w:val="24"/>
        </w:rPr>
        <w:t>SA Journal of Human Resource Management, 9</w:t>
      </w:r>
      <w:r w:rsidRPr="006D7516">
        <w:rPr>
          <w:rFonts w:ascii="Times New Roman" w:hAnsi="Times New Roman" w:cs="Times New Roman"/>
          <w:sz w:val="24"/>
          <w:szCs w:val="24"/>
        </w:rPr>
        <w:t>(1), 1-14</w:t>
      </w:r>
      <w:r w:rsidRPr="00330F20">
        <w:rPr>
          <w:rFonts w:ascii="Times New Roman" w:hAnsi="Times New Roman" w:cs="Times New Roman"/>
          <w:color w:val="0070C0"/>
          <w:sz w:val="24"/>
          <w:szCs w:val="24"/>
        </w:rPr>
        <w:t>.</w:t>
      </w:r>
      <w:r w:rsidR="0041485A" w:rsidRPr="00330F20">
        <w:rPr>
          <w:rFonts w:ascii="Times New Roman" w:hAnsi="Times New Roman" w:cs="Times New Roman"/>
          <w:color w:val="0070C0"/>
          <w:sz w:val="24"/>
          <w:szCs w:val="24"/>
        </w:rPr>
        <w:t xml:space="preserve"> </w:t>
      </w:r>
      <w:hyperlink r:id="rId28" w:history="1">
        <w:r w:rsidR="0041485A" w:rsidRPr="00330F20">
          <w:rPr>
            <w:rStyle w:val="Hyperlink"/>
            <w:rFonts w:ascii="Times New Roman" w:hAnsi="Times New Roman" w:cs="Times New Roman"/>
            <w:color w:val="0070C0"/>
            <w:sz w:val="24"/>
            <w:szCs w:val="24"/>
          </w:rPr>
          <w:t>https://doi.org/10.4102/sajhrm.v9i1.305</w:t>
        </w:r>
      </w:hyperlink>
      <w:r w:rsidR="0041485A" w:rsidRPr="00330F20">
        <w:rPr>
          <w:rFonts w:ascii="Times New Roman" w:hAnsi="Times New Roman" w:cs="Times New Roman"/>
          <w:color w:val="0070C0"/>
          <w:sz w:val="24"/>
          <w:szCs w:val="24"/>
        </w:rPr>
        <w:t xml:space="preserve"> </w:t>
      </w:r>
    </w:p>
    <w:p w14:paraId="06C7DF86" w14:textId="77777777" w:rsidR="006D7516" w:rsidRDefault="006D7516" w:rsidP="007B1472">
      <w:pPr>
        <w:spacing w:line="480" w:lineRule="auto"/>
        <w:ind w:left="720" w:hanging="720"/>
        <w:rPr>
          <w:rFonts w:ascii="Times New Roman" w:hAnsi="Times New Roman" w:cs="Times New Roman"/>
          <w:sz w:val="24"/>
          <w:szCs w:val="24"/>
        </w:rPr>
      </w:pPr>
      <w:r w:rsidRPr="006D7516">
        <w:rPr>
          <w:rFonts w:ascii="Times New Roman" w:hAnsi="Times New Roman" w:cs="Times New Roman"/>
          <w:sz w:val="24"/>
          <w:szCs w:val="24"/>
        </w:rPr>
        <w:lastRenderedPageBreak/>
        <w:t xml:space="preserve">Spetch, A., Howland, A., &amp; Lowman, R. L. (2011). EAP utilization patterns and employee absenteeism: Results of an empirical, 3-year longitudinal study in a national Canadian retail corporation. </w:t>
      </w:r>
      <w:r w:rsidRPr="0041485A">
        <w:rPr>
          <w:rFonts w:ascii="Times New Roman" w:hAnsi="Times New Roman" w:cs="Times New Roman"/>
          <w:i/>
          <w:sz w:val="24"/>
          <w:szCs w:val="24"/>
        </w:rPr>
        <w:t>Consulting Psychology Journal: Practice and Research, 63</w:t>
      </w:r>
      <w:r w:rsidR="0041485A">
        <w:rPr>
          <w:rFonts w:ascii="Times New Roman" w:hAnsi="Times New Roman" w:cs="Times New Roman"/>
          <w:sz w:val="24"/>
          <w:szCs w:val="24"/>
        </w:rPr>
        <w:t xml:space="preserve">(2), 110. </w:t>
      </w:r>
      <w:hyperlink r:id="rId29" w:history="1">
        <w:r w:rsidR="0041485A" w:rsidRPr="00330F20">
          <w:rPr>
            <w:rStyle w:val="Hyperlink"/>
            <w:rFonts w:ascii="Times New Roman" w:hAnsi="Times New Roman" w:cs="Times New Roman"/>
            <w:color w:val="0070C0"/>
            <w:sz w:val="24"/>
            <w:szCs w:val="24"/>
          </w:rPr>
          <w:t>https://doi.org/10.1037/a0024690</w:t>
        </w:r>
      </w:hyperlink>
      <w:r w:rsidR="0041485A" w:rsidRPr="00330F20">
        <w:rPr>
          <w:rFonts w:ascii="Times New Roman" w:hAnsi="Times New Roman" w:cs="Times New Roman"/>
          <w:color w:val="0070C0"/>
          <w:sz w:val="24"/>
          <w:szCs w:val="24"/>
        </w:rPr>
        <w:t xml:space="preserve"> </w:t>
      </w:r>
    </w:p>
    <w:p w14:paraId="3CD6D0EE"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Street, T. D., Lacey, S. J., &amp; Somoray, K. (2019). Employee stress, reduced productivity, and interest in a workplace health program: A case study from the Australian mining industry. </w:t>
      </w:r>
      <w:r w:rsidR="0041485A">
        <w:rPr>
          <w:rFonts w:ascii="Times New Roman" w:hAnsi="Times New Roman" w:cs="Times New Roman"/>
          <w:i/>
          <w:sz w:val="24"/>
          <w:szCs w:val="24"/>
        </w:rPr>
        <w:t>International Journal of Environmental Research and Public H</w:t>
      </w:r>
      <w:r w:rsidRPr="0041485A">
        <w:rPr>
          <w:rFonts w:ascii="Times New Roman" w:hAnsi="Times New Roman" w:cs="Times New Roman"/>
          <w:i/>
          <w:sz w:val="24"/>
          <w:szCs w:val="24"/>
        </w:rPr>
        <w:t>ealth, 16</w:t>
      </w:r>
      <w:r w:rsidR="0041485A">
        <w:rPr>
          <w:rFonts w:ascii="Times New Roman" w:hAnsi="Times New Roman" w:cs="Times New Roman"/>
          <w:sz w:val="24"/>
          <w:szCs w:val="24"/>
        </w:rPr>
        <w:t xml:space="preserve">(1), 94. </w:t>
      </w:r>
      <w:hyperlink r:id="rId30" w:history="1">
        <w:r w:rsidR="0041485A" w:rsidRPr="00330F20">
          <w:rPr>
            <w:rStyle w:val="Hyperlink"/>
            <w:rFonts w:ascii="Times New Roman" w:hAnsi="Times New Roman" w:cs="Times New Roman"/>
            <w:color w:val="0070C0"/>
            <w:sz w:val="24"/>
            <w:szCs w:val="24"/>
          </w:rPr>
          <w:t>https://doi.org/10.3390/ijerph16010094</w:t>
        </w:r>
      </w:hyperlink>
      <w:r w:rsidR="0041485A" w:rsidRPr="00330F20">
        <w:rPr>
          <w:rFonts w:ascii="Times New Roman" w:hAnsi="Times New Roman" w:cs="Times New Roman"/>
          <w:color w:val="0070C0"/>
          <w:sz w:val="24"/>
          <w:szCs w:val="24"/>
        </w:rPr>
        <w:t xml:space="preserve">   </w:t>
      </w:r>
    </w:p>
    <w:p w14:paraId="1819FC3E"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Trail, T. E., Martin, L. T., Burgette, L. F., May, L. W., Mahmud, A., Nanda, N., &amp; Chandra, A. (2018). An evaluation of US military non-medical counseling programs. </w:t>
      </w:r>
      <w:r w:rsidRPr="0041485A">
        <w:rPr>
          <w:rFonts w:ascii="Times New Roman" w:hAnsi="Times New Roman" w:cs="Times New Roman"/>
          <w:i/>
          <w:sz w:val="24"/>
          <w:szCs w:val="24"/>
        </w:rPr>
        <w:t>Rand health quarterly, 8</w:t>
      </w:r>
      <w:r w:rsidRPr="006D7516">
        <w:rPr>
          <w:rFonts w:ascii="Times New Roman" w:hAnsi="Times New Roman" w:cs="Times New Roman"/>
          <w:sz w:val="24"/>
          <w:szCs w:val="24"/>
        </w:rPr>
        <w:t>(2).</w:t>
      </w:r>
      <w:r w:rsidR="007211E4">
        <w:rPr>
          <w:rFonts w:ascii="Times New Roman" w:hAnsi="Times New Roman" w:cs="Times New Roman"/>
          <w:sz w:val="24"/>
          <w:szCs w:val="24"/>
        </w:rPr>
        <w:t xml:space="preserve"> </w:t>
      </w:r>
      <w:hyperlink r:id="rId31" w:history="1">
        <w:r w:rsidR="007211E4" w:rsidRPr="00330F20">
          <w:rPr>
            <w:rStyle w:val="Hyperlink"/>
            <w:rFonts w:ascii="Times New Roman" w:hAnsi="Times New Roman" w:cs="Times New Roman"/>
            <w:color w:val="0070C0"/>
            <w:sz w:val="24"/>
            <w:szCs w:val="24"/>
            <w:shd w:val="clear" w:color="auto" w:fill="FFFFFF"/>
          </w:rPr>
          <w:t> https://doi.org/10.7249/rr1861 </w:t>
        </w:r>
      </w:hyperlink>
    </w:p>
    <w:p w14:paraId="37EE8D26" w14:textId="77777777" w:rsidR="006D7516" w:rsidRPr="00330F20"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Waehrer, G. M., Miller, T. R., Hendrie, D., &amp; Galvin, D. M. (2016). Employee assistance programs, drug testing, and workplace injury. </w:t>
      </w:r>
      <w:r w:rsidRPr="0041485A">
        <w:rPr>
          <w:rFonts w:ascii="Times New Roman" w:hAnsi="Times New Roman" w:cs="Times New Roman"/>
          <w:i/>
          <w:sz w:val="24"/>
          <w:szCs w:val="24"/>
        </w:rPr>
        <w:t>Journal of s</w:t>
      </w:r>
      <w:r w:rsidR="0041485A" w:rsidRPr="0041485A">
        <w:rPr>
          <w:rFonts w:ascii="Times New Roman" w:hAnsi="Times New Roman" w:cs="Times New Roman"/>
          <w:i/>
          <w:sz w:val="24"/>
          <w:szCs w:val="24"/>
        </w:rPr>
        <w:t>afety research, 57</w:t>
      </w:r>
      <w:r w:rsidR="0041485A">
        <w:rPr>
          <w:rFonts w:ascii="Times New Roman" w:hAnsi="Times New Roman" w:cs="Times New Roman"/>
          <w:sz w:val="24"/>
          <w:szCs w:val="24"/>
        </w:rPr>
        <w:t xml:space="preserve">, 53-60. </w:t>
      </w:r>
      <w:hyperlink r:id="rId32" w:history="1">
        <w:r w:rsidR="0041485A" w:rsidRPr="00330F20">
          <w:rPr>
            <w:rStyle w:val="Hyperlink"/>
            <w:rFonts w:ascii="Times New Roman" w:hAnsi="Times New Roman" w:cs="Times New Roman"/>
            <w:color w:val="0070C0"/>
            <w:sz w:val="24"/>
            <w:szCs w:val="24"/>
          </w:rPr>
          <w:t>https://doi.org/10.1016/j.jsr.2016.03.009</w:t>
        </w:r>
      </w:hyperlink>
      <w:r w:rsidR="0041485A" w:rsidRPr="00330F20">
        <w:rPr>
          <w:rFonts w:ascii="Times New Roman" w:hAnsi="Times New Roman" w:cs="Times New Roman"/>
          <w:color w:val="0070C0"/>
          <w:sz w:val="24"/>
          <w:szCs w:val="24"/>
        </w:rPr>
        <w:t xml:space="preserve"> </w:t>
      </w:r>
    </w:p>
    <w:p w14:paraId="55A9AE3D" w14:textId="4AC28506" w:rsidR="006D7516" w:rsidRDefault="006D7516" w:rsidP="007B1472">
      <w:pPr>
        <w:spacing w:line="480" w:lineRule="auto"/>
        <w:ind w:left="720" w:hanging="720"/>
        <w:rPr>
          <w:rFonts w:ascii="Times New Roman" w:hAnsi="Times New Roman" w:cs="Times New Roman"/>
          <w:color w:val="0070C0"/>
          <w:sz w:val="24"/>
          <w:szCs w:val="24"/>
        </w:rPr>
      </w:pPr>
      <w:r w:rsidRPr="006D7516">
        <w:rPr>
          <w:rFonts w:ascii="Times New Roman" w:hAnsi="Times New Roman" w:cs="Times New Roman"/>
          <w:sz w:val="24"/>
          <w:szCs w:val="24"/>
        </w:rPr>
        <w:t xml:space="preserve">Wang, C. W., Lin, P. C., &amp; Sha, C. (2014). Employee problems and their consequences in the technology industry: Evidence from surveys and counseling records. </w:t>
      </w:r>
      <w:r w:rsidRPr="0041485A">
        <w:rPr>
          <w:rFonts w:ascii="Times New Roman" w:hAnsi="Times New Roman" w:cs="Times New Roman"/>
          <w:i/>
          <w:sz w:val="24"/>
          <w:szCs w:val="24"/>
        </w:rPr>
        <w:t>Psychological reports, 114</w:t>
      </w:r>
      <w:r w:rsidR="0041485A">
        <w:rPr>
          <w:rFonts w:ascii="Times New Roman" w:hAnsi="Times New Roman" w:cs="Times New Roman"/>
          <w:sz w:val="24"/>
          <w:szCs w:val="24"/>
        </w:rPr>
        <w:t xml:space="preserve">(3), 687-719. </w:t>
      </w:r>
      <w:hyperlink r:id="rId33" w:history="1">
        <w:r w:rsidR="0041485A" w:rsidRPr="00330F20">
          <w:rPr>
            <w:rStyle w:val="Hyperlink"/>
            <w:rFonts w:ascii="Times New Roman" w:hAnsi="Times New Roman" w:cs="Times New Roman"/>
            <w:color w:val="0070C0"/>
            <w:sz w:val="24"/>
            <w:szCs w:val="24"/>
          </w:rPr>
          <w:t>https://doi.org/10.2466/01.02.PR0.114k24w2</w:t>
        </w:r>
      </w:hyperlink>
      <w:r w:rsidR="0041485A" w:rsidRPr="00330F20">
        <w:rPr>
          <w:rFonts w:ascii="Times New Roman" w:hAnsi="Times New Roman" w:cs="Times New Roman"/>
          <w:color w:val="0070C0"/>
          <w:sz w:val="24"/>
          <w:szCs w:val="24"/>
        </w:rPr>
        <w:t xml:space="preserve"> </w:t>
      </w:r>
    </w:p>
    <w:p w14:paraId="237610B9" w14:textId="77777777" w:rsidR="00763425" w:rsidRDefault="00763425" w:rsidP="007B1472">
      <w:pPr>
        <w:spacing w:line="480" w:lineRule="auto"/>
        <w:ind w:left="720" w:hanging="720"/>
        <w:rPr>
          <w:rFonts w:ascii="Times New Roman" w:hAnsi="Times New Roman" w:cs="Times New Roman"/>
          <w:color w:val="0070C0"/>
          <w:sz w:val="24"/>
          <w:szCs w:val="24"/>
        </w:rPr>
      </w:pPr>
    </w:p>
    <w:p w14:paraId="698E4648" w14:textId="77777777" w:rsidR="00E56129" w:rsidRPr="00F60D8C" w:rsidRDefault="00E56129" w:rsidP="00164900">
      <w:pPr>
        <w:spacing w:line="480" w:lineRule="auto"/>
        <w:rPr>
          <w:rFonts w:ascii="Times New Roman" w:hAnsi="Times New Roman" w:cs="Times New Roman"/>
          <w:sz w:val="24"/>
          <w:szCs w:val="24"/>
        </w:rPr>
      </w:pPr>
    </w:p>
    <w:sectPr w:rsidR="00E56129" w:rsidRPr="00F60D8C" w:rsidSect="00B44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670A" w14:textId="77777777" w:rsidR="001414E9" w:rsidRDefault="001414E9" w:rsidP="00F60D8C">
      <w:pPr>
        <w:spacing w:after="0" w:line="240" w:lineRule="auto"/>
      </w:pPr>
      <w:r>
        <w:separator/>
      </w:r>
    </w:p>
  </w:endnote>
  <w:endnote w:type="continuationSeparator" w:id="0">
    <w:p w14:paraId="32DAA0D9" w14:textId="77777777" w:rsidR="001414E9" w:rsidRDefault="001414E9" w:rsidP="00F6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3D32" w14:textId="77777777" w:rsidR="001414E9" w:rsidRDefault="001414E9" w:rsidP="00F60D8C">
      <w:pPr>
        <w:spacing w:after="0" w:line="240" w:lineRule="auto"/>
      </w:pPr>
      <w:r>
        <w:separator/>
      </w:r>
    </w:p>
  </w:footnote>
  <w:footnote w:type="continuationSeparator" w:id="0">
    <w:p w14:paraId="1472BB61" w14:textId="77777777" w:rsidR="001414E9" w:rsidRDefault="001414E9" w:rsidP="00F60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77DC"/>
    <w:multiLevelType w:val="hybridMultilevel"/>
    <w:tmpl w:val="C638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4367B"/>
    <w:multiLevelType w:val="multilevel"/>
    <w:tmpl w:val="711A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F4"/>
    <w:rsid w:val="00010930"/>
    <w:rsid w:val="00012979"/>
    <w:rsid w:val="0001446A"/>
    <w:rsid w:val="00020AC1"/>
    <w:rsid w:val="00031F19"/>
    <w:rsid w:val="00034DAD"/>
    <w:rsid w:val="00037ACD"/>
    <w:rsid w:val="00042618"/>
    <w:rsid w:val="0006659D"/>
    <w:rsid w:val="0007412A"/>
    <w:rsid w:val="00075E2A"/>
    <w:rsid w:val="000807DF"/>
    <w:rsid w:val="00080B29"/>
    <w:rsid w:val="00094698"/>
    <w:rsid w:val="00094C37"/>
    <w:rsid w:val="000B4662"/>
    <w:rsid w:val="000D1DB5"/>
    <w:rsid w:val="000D262F"/>
    <w:rsid w:val="000E3469"/>
    <w:rsid w:val="000E6181"/>
    <w:rsid w:val="000F3988"/>
    <w:rsid w:val="00110091"/>
    <w:rsid w:val="001353FF"/>
    <w:rsid w:val="00135EF2"/>
    <w:rsid w:val="001414E9"/>
    <w:rsid w:val="00141998"/>
    <w:rsid w:val="00141D28"/>
    <w:rsid w:val="001513C4"/>
    <w:rsid w:val="00164900"/>
    <w:rsid w:val="0017619E"/>
    <w:rsid w:val="001A026D"/>
    <w:rsid w:val="001C0210"/>
    <w:rsid w:val="001C5609"/>
    <w:rsid w:val="001D55BE"/>
    <w:rsid w:val="001E3EC8"/>
    <w:rsid w:val="002257ED"/>
    <w:rsid w:val="00226F0C"/>
    <w:rsid w:val="0024682A"/>
    <w:rsid w:val="00252144"/>
    <w:rsid w:val="00253B0D"/>
    <w:rsid w:val="00254FF4"/>
    <w:rsid w:val="00263A18"/>
    <w:rsid w:val="00273B76"/>
    <w:rsid w:val="00284550"/>
    <w:rsid w:val="002B785A"/>
    <w:rsid w:val="002D2B8F"/>
    <w:rsid w:val="002F36EB"/>
    <w:rsid w:val="00320CE1"/>
    <w:rsid w:val="00330F20"/>
    <w:rsid w:val="00340869"/>
    <w:rsid w:val="0034134D"/>
    <w:rsid w:val="00343429"/>
    <w:rsid w:val="00372818"/>
    <w:rsid w:val="003807D2"/>
    <w:rsid w:val="00380800"/>
    <w:rsid w:val="00383DD6"/>
    <w:rsid w:val="00383FA3"/>
    <w:rsid w:val="003842BB"/>
    <w:rsid w:val="00385CF9"/>
    <w:rsid w:val="003F6DD6"/>
    <w:rsid w:val="004033FE"/>
    <w:rsid w:val="0041485A"/>
    <w:rsid w:val="004275AB"/>
    <w:rsid w:val="00427C9F"/>
    <w:rsid w:val="0043604B"/>
    <w:rsid w:val="00451CFA"/>
    <w:rsid w:val="00462F93"/>
    <w:rsid w:val="00486312"/>
    <w:rsid w:val="004A6645"/>
    <w:rsid w:val="004B1593"/>
    <w:rsid w:val="004B29CB"/>
    <w:rsid w:val="004B3EDE"/>
    <w:rsid w:val="004C1639"/>
    <w:rsid w:val="004C1AAD"/>
    <w:rsid w:val="004C4836"/>
    <w:rsid w:val="004D61E5"/>
    <w:rsid w:val="004D6835"/>
    <w:rsid w:val="00502898"/>
    <w:rsid w:val="00503D08"/>
    <w:rsid w:val="00504D1F"/>
    <w:rsid w:val="00505624"/>
    <w:rsid w:val="00512C97"/>
    <w:rsid w:val="00526100"/>
    <w:rsid w:val="00530AA2"/>
    <w:rsid w:val="00532797"/>
    <w:rsid w:val="00560F79"/>
    <w:rsid w:val="00570DBF"/>
    <w:rsid w:val="005821C3"/>
    <w:rsid w:val="00592DAD"/>
    <w:rsid w:val="005A18B7"/>
    <w:rsid w:val="005A2B12"/>
    <w:rsid w:val="005C22B9"/>
    <w:rsid w:val="005D4694"/>
    <w:rsid w:val="005E0A1C"/>
    <w:rsid w:val="005E3BFF"/>
    <w:rsid w:val="005E44DD"/>
    <w:rsid w:val="005F06C1"/>
    <w:rsid w:val="005F7A10"/>
    <w:rsid w:val="006003AB"/>
    <w:rsid w:val="006111E8"/>
    <w:rsid w:val="006435DA"/>
    <w:rsid w:val="00662D95"/>
    <w:rsid w:val="00664B9A"/>
    <w:rsid w:val="00665956"/>
    <w:rsid w:val="006663CF"/>
    <w:rsid w:val="006810B7"/>
    <w:rsid w:val="00683E83"/>
    <w:rsid w:val="00684AFC"/>
    <w:rsid w:val="006C1C55"/>
    <w:rsid w:val="006C2674"/>
    <w:rsid w:val="006D7516"/>
    <w:rsid w:val="006F52BD"/>
    <w:rsid w:val="00701AEC"/>
    <w:rsid w:val="00712386"/>
    <w:rsid w:val="007163F4"/>
    <w:rsid w:val="007211E4"/>
    <w:rsid w:val="00732F9B"/>
    <w:rsid w:val="00745DC4"/>
    <w:rsid w:val="0075046B"/>
    <w:rsid w:val="0075576A"/>
    <w:rsid w:val="00763425"/>
    <w:rsid w:val="00783116"/>
    <w:rsid w:val="007851A2"/>
    <w:rsid w:val="00793BB3"/>
    <w:rsid w:val="007B1472"/>
    <w:rsid w:val="007B2A56"/>
    <w:rsid w:val="007B68FA"/>
    <w:rsid w:val="007C1A96"/>
    <w:rsid w:val="007C4AD5"/>
    <w:rsid w:val="007C6BB0"/>
    <w:rsid w:val="007E243F"/>
    <w:rsid w:val="007E751D"/>
    <w:rsid w:val="007F1BCC"/>
    <w:rsid w:val="007F3A43"/>
    <w:rsid w:val="00803B86"/>
    <w:rsid w:val="00806B6A"/>
    <w:rsid w:val="00812DD6"/>
    <w:rsid w:val="00833C08"/>
    <w:rsid w:val="0084427E"/>
    <w:rsid w:val="008445EC"/>
    <w:rsid w:val="00850935"/>
    <w:rsid w:val="008654D6"/>
    <w:rsid w:val="008A16CD"/>
    <w:rsid w:val="008A4D54"/>
    <w:rsid w:val="008A76AF"/>
    <w:rsid w:val="008C6ECB"/>
    <w:rsid w:val="008D74F2"/>
    <w:rsid w:val="008E4629"/>
    <w:rsid w:val="008F5A02"/>
    <w:rsid w:val="008F7B75"/>
    <w:rsid w:val="00904002"/>
    <w:rsid w:val="00956096"/>
    <w:rsid w:val="009707DB"/>
    <w:rsid w:val="0097231E"/>
    <w:rsid w:val="00981B71"/>
    <w:rsid w:val="009831B8"/>
    <w:rsid w:val="00983E91"/>
    <w:rsid w:val="00987E77"/>
    <w:rsid w:val="00993DED"/>
    <w:rsid w:val="009A5AE0"/>
    <w:rsid w:val="009B1299"/>
    <w:rsid w:val="009B5E97"/>
    <w:rsid w:val="009C5225"/>
    <w:rsid w:val="009C5C18"/>
    <w:rsid w:val="009D3A55"/>
    <w:rsid w:val="009E1FD5"/>
    <w:rsid w:val="009F3BE4"/>
    <w:rsid w:val="009F4988"/>
    <w:rsid w:val="009F4C13"/>
    <w:rsid w:val="009F5CC9"/>
    <w:rsid w:val="00A34A25"/>
    <w:rsid w:val="00A521D9"/>
    <w:rsid w:val="00A52B9F"/>
    <w:rsid w:val="00A562C0"/>
    <w:rsid w:val="00A6656B"/>
    <w:rsid w:val="00A719F2"/>
    <w:rsid w:val="00A73BD9"/>
    <w:rsid w:val="00A84898"/>
    <w:rsid w:val="00AB62DA"/>
    <w:rsid w:val="00AC29D4"/>
    <w:rsid w:val="00AE7F1D"/>
    <w:rsid w:val="00B00851"/>
    <w:rsid w:val="00B03143"/>
    <w:rsid w:val="00B061F4"/>
    <w:rsid w:val="00B127AC"/>
    <w:rsid w:val="00B1535F"/>
    <w:rsid w:val="00B15D84"/>
    <w:rsid w:val="00B44463"/>
    <w:rsid w:val="00B5186C"/>
    <w:rsid w:val="00B5251B"/>
    <w:rsid w:val="00B80817"/>
    <w:rsid w:val="00BA09C2"/>
    <w:rsid w:val="00BB4EFA"/>
    <w:rsid w:val="00BB6B76"/>
    <w:rsid w:val="00BE181F"/>
    <w:rsid w:val="00C15D9A"/>
    <w:rsid w:val="00C42FD3"/>
    <w:rsid w:val="00C54389"/>
    <w:rsid w:val="00C558CF"/>
    <w:rsid w:val="00C80C22"/>
    <w:rsid w:val="00C82D55"/>
    <w:rsid w:val="00C8478E"/>
    <w:rsid w:val="00C922C4"/>
    <w:rsid w:val="00C977F4"/>
    <w:rsid w:val="00CA4304"/>
    <w:rsid w:val="00CA7BF8"/>
    <w:rsid w:val="00CB08BE"/>
    <w:rsid w:val="00D3120D"/>
    <w:rsid w:val="00D32BE5"/>
    <w:rsid w:val="00D41809"/>
    <w:rsid w:val="00D5125A"/>
    <w:rsid w:val="00D55BE5"/>
    <w:rsid w:val="00D56A86"/>
    <w:rsid w:val="00D747B7"/>
    <w:rsid w:val="00D75814"/>
    <w:rsid w:val="00D902A5"/>
    <w:rsid w:val="00D91009"/>
    <w:rsid w:val="00D9148A"/>
    <w:rsid w:val="00DA46D7"/>
    <w:rsid w:val="00DE3CD4"/>
    <w:rsid w:val="00DF05F8"/>
    <w:rsid w:val="00E03302"/>
    <w:rsid w:val="00E24658"/>
    <w:rsid w:val="00E24796"/>
    <w:rsid w:val="00E27633"/>
    <w:rsid w:val="00E27BB7"/>
    <w:rsid w:val="00E56129"/>
    <w:rsid w:val="00E57D56"/>
    <w:rsid w:val="00E71813"/>
    <w:rsid w:val="00E846F2"/>
    <w:rsid w:val="00E969CC"/>
    <w:rsid w:val="00EB49AC"/>
    <w:rsid w:val="00EB656E"/>
    <w:rsid w:val="00EC1B1A"/>
    <w:rsid w:val="00EF2CDD"/>
    <w:rsid w:val="00F027C8"/>
    <w:rsid w:val="00F03467"/>
    <w:rsid w:val="00F13127"/>
    <w:rsid w:val="00F33095"/>
    <w:rsid w:val="00F358EC"/>
    <w:rsid w:val="00F35BF6"/>
    <w:rsid w:val="00F40C2A"/>
    <w:rsid w:val="00F46F2A"/>
    <w:rsid w:val="00F60D8C"/>
    <w:rsid w:val="00F7177D"/>
    <w:rsid w:val="00F8311C"/>
    <w:rsid w:val="00F96063"/>
    <w:rsid w:val="00FA05D1"/>
    <w:rsid w:val="00FB2651"/>
    <w:rsid w:val="00FB4946"/>
    <w:rsid w:val="00FB5199"/>
    <w:rsid w:val="00FB70F7"/>
    <w:rsid w:val="00FD1877"/>
    <w:rsid w:val="00FD27FF"/>
    <w:rsid w:val="00FE1D1C"/>
    <w:rsid w:val="00FE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BA0B"/>
  <w15:chartTrackingRefBased/>
  <w15:docId w15:val="{D5F7959F-4F77-4C38-808A-4045EE31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E3C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6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D8C"/>
    <w:rPr>
      <w:lang w:val="en-CA"/>
    </w:rPr>
  </w:style>
  <w:style w:type="paragraph" w:styleId="Footer">
    <w:name w:val="footer"/>
    <w:basedOn w:val="Normal"/>
    <w:link w:val="FooterChar"/>
    <w:uiPriority w:val="99"/>
    <w:unhideWhenUsed/>
    <w:rsid w:val="00F60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D8C"/>
    <w:rPr>
      <w:lang w:val="en-CA"/>
    </w:rPr>
  </w:style>
  <w:style w:type="paragraph" w:styleId="ListParagraph">
    <w:name w:val="List Paragraph"/>
    <w:basedOn w:val="Normal"/>
    <w:uiPriority w:val="34"/>
    <w:qFormat/>
    <w:rsid w:val="00833C08"/>
    <w:pPr>
      <w:ind w:left="720"/>
      <w:contextualSpacing/>
    </w:pPr>
  </w:style>
  <w:style w:type="character" w:styleId="Hyperlink">
    <w:name w:val="Hyperlink"/>
    <w:basedOn w:val="DefaultParagraphFont"/>
    <w:uiPriority w:val="99"/>
    <w:unhideWhenUsed/>
    <w:rsid w:val="007211E4"/>
    <w:rPr>
      <w:color w:val="0000FF"/>
      <w:u w:val="single"/>
    </w:rPr>
  </w:style>
  <w:style w:type="character" w:styleId="FollowedHyperlink">
    <w:name w:val="FollowedHyperlink"/>
    <w:basedOn w:val="DefaultParagraphFont"/>
    <w:uiPriority w:val="99"/>
    <w:semiHidden/>
    <w:unhideWhenUsed/>
    <w:rsid w:val="00B1535F"/>
    <w:rPr>
      <w:color w:val="954F72" w:themeColor="followedHyperlink"/>
      <w:u w:val="single"/>
    </w:rPr>
  </w:style>
  <w:style w:type="paragraph" w:customStyle="1" w:styleId="dx-doi">
    <w:name w:val="dx-doi"/>
    <w:basedOn w:val="Normal"/>
    <w:rsid w:val="001761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2257ED"/>
    <w:rPr>
      <w:sz w:val="16"/>
      <w:szCs w:val="16"/>
    </w:rPr>
  </w:style>
  <w:style w:type="paragraph" w:styleId="CommentText">
    <w:name w:val="annotation text"/>
    <w:basedOn w:val="Normal"/>
    <w:link w:val="CommentTextChar"/>
    <w:uiPriority w:val="99"/>
    <w:semiHidden/>
    <w:unhideWhenUsed/>
    <w:rsid w:val="002257ED"/>
    <w:pPr>
      <w:spacing w:line="240" w:lineRule="auto"/>
    </w:pPr>
    <w:rPr>
      <w:sz w:val="20"/>
      <w:szCs w:val="20"/>
    </w:rPr>
  </w:style>
  <w:style w:type="character" w:customStyle="1" w:styleId="CommentTextChar">
    <w:name w:val="Comment Text Char"/>
    <w:basedOn w:val="DefaultParagraphFont"/>
    <w:link w:val="CommentText"/>
    <w:uiPriority w:val="99"/>
    <w:semiHidden/>
    <w:rsid w:val="002257ED"/>
    <w:rPr>
      <w:sz w:val="20"/>
      <w:szCs w:val="20"/>
      <w:lang w:val="en-CA"/>
    </w:rPr>
  </w:style>
  <w:style w:type="paragraph" w:styleId="CommentSubject">
    <w:name w:val="annotation subject"/>
    <w:basedOn w:val="CommentText"/>
    <w:next w:val="CommentText"/>
    <w:link w:val="CommentSubjectChar"/>
    <w:uiPriority w:val="99"/>
    <w:semiHidden/>
    <w:unhideWhenUsed/>
    <w:rsid w:val="002257ED"/>
    <w:rPr>
      <w:b/>
      <w:bCs/>
    </w:rPr>
  </w:style>
  <w:style w:type="character" w:customStyle="1" w:styleId="CommentSubjectChar">
    <w:name w:val="Comment Subject Char"/>
    <w:basedOn w:val="CommentTextChar"/>
    <w:link w:val="CommentSubject"/>
    <w:uiPriority w:val="99"/>
    <w:semiHidden/>
    <w:rsid w:val="002257ED"/>
    <w:rPr>
      <w:b/>
      <w:bCs/>
      <w:sz w:val="20"/>
      <w:szCs w:val="20"/>
      <w:lang w:val="en-CA"/>
    </w:rPr>
  </w:style>
  <w:style w:type="paragraph" w:styleId="BalloonText">
    <w:name w:val="Balloon Text"/>
    <w:basedOn w:val="Normal"/>
    <w:link w:val="BalloonTextChar"/>
    <w:uiPriority w:val="99"/>
    <w:semiHidden/>
    <w:unhideWhenUsed/>
    <w:rsid w:val="0022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7ED"/>
    <w:rPr>
      <w:rFonts w:ascii="Segoe UI" w:hAnsi="Segoe UI" w:cs="Segoe UI"/>
      <w:sz w:val="18"/>
      <w:szCs w:val="18"/>
      <w:lang w:val="en-CA"/>
    </w:rPr>
  </w:style>
  <w:style w:type="character" w:customStyle="1" w:styleId="apple-style-span">
    <w:name w:val="apple-style-span"/>
    <w:basedOn w:val="DefaultParagraphFont"/>
    <w:rsid w:val="0068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274">
      <w:bodyDiv w:val="1"/>
      <w:marLeft w:val="0"/>
      <w:marRight w:val="0"/>
      <w:marTop w:val="0"/>
      <w:marBottom w:val="0"/>
      <w:divBdr>
        <w:top w:val="none" w:sz="0" w:space="0" w:color="auto"/>
        <w:left w:val="none" w:sz="0" w:space="0" w:color="auto"/>
        <w:bottom w:val="none" w:sz="0" w:space="0" w:color="auto"/>
        <w:right w:val="none" w:sz="0" w:space="0" w:color="auto"/>
      </w:divBdr>
    </w:div>
    <w:div w:id="283654765">
      <w:bodyDiv w:val="1"/>
      <w:marLeft w:val="0"/>
      <w:marRight w:val="0"/>
      <w:marTop w:val="0"/>
      <w:marBottom w:val="0"/>
      <w:divBdr>
        <w:top w:val="none" w:sz="0" w:space="0" w:color="auto"/>
        <w:left w:val="none" w:sz="0" w:space="0" w:color="auto"/>
        <w:bottom w:val="none" w:sz="0" w:space="0" w:color="auto"/>
        <w:right w:val="none" w:sz="0" w:space="0" w:color="auto"/>
      </w:divBdr>
    </w:div>
    <w:div w:id="285738322">
      <w:bodyDiv w:val="1"/>
      <w:marLeft w:val="0"/>
      <w:marRight w:val="0"/>
      <w:marTop w:val="0"/>
      <w:marBottom w:val="0"/>
      <w:divBdr>
        <w:top w:val="none" w:sz="0" w:space="0" w:color="auto"/>
        <w:left w:val="none" w:sz="0" w:space="0" w:color="auto"/>
        <w:bottom w:val="none" w:sz="0" w:space="0" w:color="auto"/>
        <w:right w:val="none" w:sz="0" w:space="0" w:color="auto"/>
      </w:divBdr>
    </w:div>
    <w:div w:id="319777407">
      <w:bodyDiv w:val="1"/>
      <w:marLeft w:val="0"/>
      <w:marRight w:val="0"/>
      <w:marTop w:val="0"/>
      <w:marBottom w:val="0"/>
      <w:divBdr>
        <w:top w:val="none" w:sz="0" w:space="0" w:color="auto"/>
        <w:left w:val="none" w:sz="0" w:space="0" w:color="auto"/>
        <w:bottom w:val="none" w:sz="0" w:space="0" w:color="auto"/>
        <w:right w:val="none" w:sz="0" w:space="0" w:color="auto"/>
      </w:divBdr>
    </w:div>
    <w:div w:id="386729590">
      <w:bodyDiv w:val="1"/>
      <w:marLeft w:val="0"/>
      <w:marRight w:val="0"/>
      <w:marTop w:val="0"/>
      <w:marBottom w:val="0"/>
      <w:divBdr>
        <w:top w:val="none" w:sz="0" w:space="0" w:color="auto"/>
        <w:left w:val="none" w:sz="0" w:space="0" w:color="auto"/>
        <w:bottom w:val="none" w:sz="0" w:space="0" w:color="auto"/>
        <w:right w:val="none" w:sz="0" w:space="0" w:color="auto"/>
      </w:divBdr>
    </w:div>
    <w:div w:id="396900324">
      <w:bodyDiv w:val="1"/>
      <w:marLeft w:val="0"/>
      <w:marRight w:val="0"/>
      <w:marTop w:val="0"/>
      <w:marBottom w:val="0"/>
      <w:divBdr>
        <w:top w:val="none" w:sz="0" w:space="0" w:color="auto"/>
        <w:left w:val="none" w:sz="0" w:space="0" w:color="auto"/>
        <w:bottom w:val="none" w:sz="0" w:space="0" w:color="auto"/>
        <w:right w:val="none" w:sz="0" w:space="0" w:color="auto"/>
      </w:divBdr>
    </w:div>
    <w:div w:id="601183951">
      <w:bodyDiv w:val="1"/>
      <w:marLeft w:val="0"/>
      <w:marRight w:val="0"/>
      <w:marTop w:val="0"/>
      <w:marBottom w:val="0"/>
      <w:divBdr>
        <w:top w:val="none" w:sz="0" w:space="0" w:color="auto"/>
        <w:left w:val="none" w:sz="0" w:space="0" w:color="auto"/>
        <w:bottom w:val="none" w:sz="0" w:space="0" w:color="auto"/>
        <w:right w:val="none" w:sz="0" w:space="0" w:color="auto"/>
      </w:divBdr>
    </w:div>
    <w:div w:id="848562697">
      <w:bodyDiv w:val="1"/>
      <w:marLeft w:val="0"/>
      <w:marRight w:val="0"/>
      <w:marTop w:val="0"/>
      <w:marBottom w:val="0"/>
      <w:divBdr>
        <w:top w:val="none" w:sz="0" w:space="0" w:color="auto"/>
        <w:left w:val="none" w:sz="0" w:space="0" w:color="auto"/>
        <w:bottom w:val="none" w:sz="0" w:space="0" w:color="auto"/>
        <w:right w:val="none" w:sz="0" w:space="0" w:color="auto"/>
      </w:divBdr>
    </w:div>
    <w:div w:id="866068971">
      <w:bodyDiv w:val="1"/>
      <w:marLeft w:val="0"/>
      <w:marRight w:val="0"/>
      <w:marTop w:val="0"/>
      <w:marBottom w:val="0"/>
      <w:divBdr>
        <w:top w:val="none" w:sz="0" w:space="0" w:color="auto"/>
        <w:left w:val="none" w:sz="0" w:space="0" w:color="auto"/>
        <w:bottom w:val="none" w:sz="0" w:space="0" w:color="auto"/>
        <w:right w:val="none" w:sz="0" w:space="0" w:color="auto"/>
      </w:divBdr>
    </w:div>
    <w:div w:id="949824335">
      <w:bodyDiv w:val="1"/>
      <w:marLeft w:val="0"/>
      <w:marRight w:val="0"/>
      <w:marTop w:val="0"/>
      <w:marBottom w:val="0"/>
      <w:divBdr>
        <w:top w:val="none" w:sz="0" w:space="0" w:color="auto"/>
        <w:left w:val="none" w:sz="0" w:space="0" w:color="auto"/>
        <w:bottom w:val="none" w:sz="0" w:space="0" w:color="auto"/>
        <w:right w:val="none" w:sz="0" w:space="0" w:color="auto"/>
      </w:divBdr>
    </w:div>
    <w:div w:id="961884085">
      <w:bodyDiv w:val="1"/>
      <w:marLeft w:val="0"/>
      <w:marRight w:val="0"/>
      <w:marTop w:val="0"/>
      <w:marBottom w:val="0"/>
      <w:divBdr>
        <w:top w:val="none" w:sz="0" w:space="0" w:color="auto"/>
        <w:left w:val="none" w:sz="0" w:space="0" w:color="auto"/>
        <w:bottom w:val="none" w:sz="0" w:space="0" w:color="auto"/>
        <w:right w:val="none" w:sz="0" w:space="0" w:color="auto"/>
      </w:divBdr>
    </w:div>
    <w:div w:id="966856658">
      <w:bodyDiv w:val="1"/>
      <w:marLeft w:val="0"/>
      <w:marRight w:val="0"/>
      <w:marTop w:val="0"/>
      <w:marBottom w:val="0"/>
      <w:divBdr>
        <w:top w:val="none" w:sz="0" w:space="0" w:color="auto"/>
        <w:left w:val="none" w:sz="0" w:space="0" w:color="auto"/>
        <w:bottom w:val="none" w:sz="0" w:space="0" w:color="auto"/>
        <w:right w:val="none" w:sz="0" w:space="0" w:color="auto"/>
      </w:divBdr>
    </w:div>
    <w:div w:id="1361779063">
      <w:bodyDiv w:val="1"/>
      <w:marLeft w:val="0"/>
      <w:marRight w:val="0"/>
      <w:marTop w:val="0"/>
      <w:marBottom w:val="0"/>
      <w:divBdr>
        <w:top w:val="none" w:sz="0" w:space="0" w:color="auto"/>
        <w:left w:val="none" w:sz="0" w:space="0" w:color="auto"/>
        <w:bottom w:val="none" w:sz="0" w:space="0" w:color="auto"/>
        <w:right w:val="none" w:sz="0" w:space="0" w:color="auto"/>
      </w:divBdr>
    </w:div>
    <w:div w:id="1423339304">
      <w:bodyDiv w:val="1"/>
      <w:marLeft w:val="0"/>
      <w:marRight w:val="0"/>
      <w:marTop w:val="0"/>
      <w:marBottom w:val="0"/>
      <w:divBdr>
        <w:top w:val="none" w:sz="0" w:space="0" w:color="auto"/>
        <w:left w:val="none" w:sz="0" w:space="0" w:color="auto"/>
        <w:bottom w:val="none" w:sz="0" w:space="0" w:color="auto"/>
        <w:right w:val="none" w:sz="0" w:space="0" w:color="auto"/>
      </w:divBdr>
    </w:div>
    <w:div w:id="1487211897">
      <w:bodyDiv w:val="1"/>
      <w:marLeft w:val="0"/>
      <w:marRight w:val="0"/>
      <w:marTop w:val="0"/>
      <w:marBottom w:val="0"/>
      <w:divBdr>
        <w:top w:val="none" w:sz="0" w:space="0" w:color="auto"/>
        <w:left w:val="none" w:sz="0" w:space="0" w:color="auto"/>
        <w:bottom w:val="none" w:sz="0" w:space="0" w:color="auto"/>
        <w:right w:val="none" w:sz="0" w:space="0" w:color="auto"/>
      </w:divBdr>
    </w:div>
    <w:div w:id="1503810876">
      <w:bodyDiv w:val="1"/>
      <w:marLeft w:val="0"/>
      <w:marRight w:val="0"/>
      <w:marTop w:val="0"/>
      <w:marBottom w:val="0"/>
      <w:divBdr>
        <w:top w:val="none" w:sz="0" w:space="0" w:color="auto"/>
        <w:left w:val="none" w:sz="0" w:space="0" w:color="auto"/>
        <w:bottom w:val="none" w:sz="0" w:space="0" w:color="auto"/>
        <w:right w:val="none" w:sz="0" w:space="0" w:color="auto"/>
      </w:divBdr>
    </w:div>
    <w:div w:id="1614703469">
      <w:bodyDiv w:val="1"/>
      <w:marLeft w:val="0"/>
      <w:marRight w:val="0"/>
      <w:marTop w:val="0"/>
      <w:marBottom w:val="0"/>
      <w:divBdr>
        <w:top w:val="none" w:sz="0" w:space="0" w:color="auto"/>
        <w:left w:val="none" w:sz="0" w:space="0" w:color="auto"/>
        <w:bottom w:val="none" w:sz="0" w:space="0" w:color="auto"/>
        <w:right w:val="none" w:sz="0" w:space="0" w:color="auto"/>
      </w:divBdr>
    </w:div>
    <w:div w:id="1626547760">
      <w:bodyDiv w:val="1"/>
      <w:marLeft w:val="0"/>
      <w:marRight w:val="0"/>
      <w:marTop w:val="0"/>
      <w:marBottom w:val="0"/>
      <w:divBdr>
        <w:top w:val="none" w:sz="0" w:space="0" w:color="auto"/>
        <w:left w:val="none" w:sz="0" w:space="0" w:color="auto"/>
        <w:bottom w:val="none" w:sz="0" w:space="0" w:color="auto"/>
        <w:right w:val="none" w:sz="0" w:space="0" w:color="auto"/>
      </w:divBdr>
    </w:div>
    <w:div w:id="1740664705">
      <w:bodyDiv w:val="1"/>
      <w:marLeft w:val="0"/>
      <w:marRight w:val="0"/>
      <w:marTop w:val="0"/>
      <w:marBottom w:val="0"/>
      <w:divBdr>
        <w:top w:val="none" w:sz="0" w:space="0" w:color="auto"/>
        <w:left w:val="none" w:sz="0" w:space="0" w:color="auto"/>
        <w:bottom w:val="none" w:sz="0" w:space="0" w:color="auto"/>
        <w:right w:val="none" w:sz="0" w:space="0" w:color="auto"/>
      </w:divBdr>
    </w:div>
    <w:div w:id="18400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theme" Target="theme/theme1.xml"/><Relationship Id="rId8"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Sheet1!$F$5</c:f>
              <c:strCache>
                <c:ptCount val="1"/>
                <c:pt idx="0">
                  <c:v>1980-1989</c:v>
                </c:pt>
              </c:strCache>
            </c:strRef>
          </c:tx>
          <c:spPr>
            <a:solidFill>
              <a:schemeClr val="accent1"/>
            </a:solidFill>
            <a:ln>
              <a:noFill/>
            </a:ln>
            <a:effectLst/>
          </c:spPr>
          <c:invertIfNegative val="0"/>
          <c:cat>
            <c:strRef>
              <c:f>Sheet1!$E$6:$E$10</c:f>
              <c:strCache>
                <c:ptCount val="5"/>
                <c:pt idx="0">
                  <c:v>Needs Assessments</c:v>
                </c:pt>
                <c:pt idx="1">
                  <c:v>Case Studies</c:v>
                </c:pt>
                <c:pt idx="2">
                  <c:v>Outcome Studies</c:v>
                </c:pt>
                <c:pt idx="3">
                  <c:v>Process Evaluations</c:v>
                </c:pt>
                <c:pt idx="4">
                  <c:v>Total:</c:v>
                </c:pt>
              </c:strCache>
            </c:strRef>
          </c:cat>
          <c:val>
            <c:numRef>
              <c:f>Sheet1!$F$6:$F$10</c:f>
              <c:numCache>
                <c:formatCode>General</c:formatCode>
                <c:ptCount val="5"/>
                <c:pt idx="0">
                  <c:v>3</c:v>
                </c:pt>
                <c:pt idx="1">
                  <c:v>4</c:v>
                </c:pt>
                <c:pt idx="2">
                  <c:v>7</c:v>
                </c:pt>
                <c:pt idx="3">
                  <c:v>5</c:v>
                </c:pt>
                <c:pt idx="4">
                  <c:v>19</c:v>
                </c:pt>
              </c:numCache>
            </c:numRef>
          </c:val>
          <c:extLst>
            <c:ext xmlns:c16="http://schemas.microsoft.com/office/drawing/2014/chart" uri="{C3380CC4-5D6E-409C-BE32-E72D297353CC}">
              <c16:uniqueId val="{00000000-AD64-4A20-97D5-A2596AB564DD}"/>
            </c:ext>
          </c:extLst>
        </c:ser>
        <c:ser>
          <c:idx val="1"/>
          <c:order val="1"/>
          <c:tx>
            <c:strRef>
              <c:f>Sheet1!$G$5</c:f>
              <c:strCache>
                <c:ptCount val="1"/>
                <c:pt idx="0">
                  <c:v>1990-1999</c:v>
                </c:pt>
              </c:strCache>
            </c:strRef>
          </c:tx>
          <c:spPr>
            <a:solidFill>
              <a:schemeClr val="accent2"/>
            </a:solidFill>
            <a:ln>
              <a:noFill/>
            </a:ln>
            <a:effectLst/>
          </c:spPr>
          <c:invertIfNegative val="0"/>
          <c:cat>
            <c:strRef>
              <c:f>Sheet1!$E$6:$E$10</c:f>
              <c:strCache>
                <c:ptCount val="5"/>
                <c:pt idx="0">
                  <c:v>Needs Assessments</c:v>
                </c:pt>
                <c:pt idx="1">
                  <c:v>Case Studies</c:v>
                </c:pt>
                <c:pt idx="2">
                  <c:v>Outcome Studies</c:v>
                </c:pt>
                <c:pt idx="3">
                  <c:v>Process Evaluations</c:v>
                </c:pt>
                <c:pt idx="4">
                  <c:v>Total:</c:v>
                </c:pt>
              </c:strCache>
            </c:strRef>
          </c:cat>
          <c:val>
            <c:numRef>
              <c:f>Sheet1!$G$6:$G$10</c:f>
              <c:numCache>
                <c:formatCode>General</c:formatCode>
                <c:ptCount val="5"/>
                <c:pt idx="0">
                  <c:v>4</c:v>
                </c:pt>
                <c:pt idx="1">
                  <c:v>12</c:v>
                </c:pt>
                <c:pt idx="2">
                  <c:v>14</c:v>
                </c:pt>
                <c:pt idx="3">
                  <c:v>9</c:v>
                </c:pt>
                <c:pt idx="4">
                  <c:v>39</c:v>
                </c:pt>
              </c:numCache>
            </c:numRef>
          </c:val>
          <c:extLst>
            <c:ext xmlns:c16="http://schemas.microsoft.com/office/drawing/2014/chart" uri="{C3380CC4-5D6E-409C-BE32-E72D297353CC}">
              <c16:uniqueId val="{00000001-AD64-4A20-97D5-A2596AB564DD}"/>
            </c:ext>
          </c:extLst>
        </c:ser>
        <c:ser>
          <c:idx val="2"/>
          <c:order val="2"/>
          <c:tx>
            <c:strRef>
              <c:f>Sheet1!$H$5</c:f>
              <c:strCache>
                <c:ptCount val="1"/>
                <c:pt idx="0">
                  <c:v>2000-2009</c:v>
                </c:pt>
              </c:strCache>
            </c:strRef>
          </c:tx>
          <c:spPr>
            <a:solidFill>
              <a:schemeClr val="accent3"/>
            </a:solidFill>
            <a:ln>
              <a:noFill/>
            </a:ln>
            <a:effectLst/>
          </c:spPr>
          <c:invertIfNegative val="0"/>
          <c:cat>
            <c:strRef>
              <c:f>Sheet1!$E$6:$E$10</c:f>
              <c:strCache>
                <c:ptCount val="5"/>
                <c:pt idx="0">
                  <c:v>Needs Assessments</c:v>
                </c:pt>
                <c:pt idx="1">
                  <c:v>Case Studies</c:v>
                </c:pt>
                <c:pt idx="2">
                  <c:v>Outcome Studies</c:v>
                </c:pt>
                <c:pt idx="3">
                  <c:v>Process Evaluations</c:v>
                </c:pt>
                <c:pt idx="4">
                  <c:v>Total:</c:v>
                </c:pt>
              </c:strCache>
            </c:strRef>
          </c:cat>
          <c:val>
            <c:numRef>
              <c:f>Sheet1!$H$6:$H$10</c:f>
              <c:numCache>
                <c:formatCode>General</c:formatCode>
                <c:ptCount val="5"/>
                <c:pt idx="0">
                  <c:v>2</c:v>
                </c:pt>
                <c:pt idx="1">
                  <c:v>21</c:v>
                </c:pt>
                <c:pt idx="2">
                  <c:v>10</c:v>
                </c:pt>
                <c:pt idx="3">
                  <c:v>9</c:v>
                </c:pt>
                <c:pt idx="4">
                  <c:v>42</c:v>
                </c:pt>
              </c:numCache>
            </c:numRef>
          </c:val>
          <c:extLst>
            <c:ext xmlns:c16="http://schemas.microsoft.com/office/drawing/2014/chart" uri="{C3380CC4-5D6E-409C-BE32-E72D297353CC}">
              <c16:uniqueId val="{00000002-AD64-4A20-97D5-A2596AB564DD}"/>
            </c:ext>
          </c:extLst>
        </c:ser>
        <c:ser>
          <c:idx val="3"/>
          <c:order val="3"/>
          <c:tx>
            <c:strRef>
              <c:f>Sheet1!$I$5</c:f>
              <c:strCache>
                <c:ptCount val="1"/>
                <c:pt idx="0">
                  <c:v>2010-2019</c:v>
                </c:pt>
              </c:strCache>
            </c:strRef>
          </c:tx>
          <c:spPr>
            <a:solidFill>
              <a:schemeClr val="accent4"/>
            </a:solidFill>
            <a:ln>
              <a:noFill/>
            </a:ln>
            <a:effectLst/>
          </c:spPr>
          <c:invertIfNegative val="0"/>
          <c:cat>
            <c:strRef>
              <c:f>Sheet1!$E$6:$E$10</c:f>
              <c:strCache>
                <c:ptCount val="5"/>
                <c:pt idx="0">
                  <c:v>Needs Assessments</c:v>
                </c:pt>
                <c:pt idx="1">
                  <c:v>Case Studies</c:v>
                </c:pt>
                <c:pt idx="2">
                  <c:v>Outcome Studies</c:v>
                </c:pt>
                <c:pt idx="3">
                  <c:v>Process Evaluations</c:v>
                </c:pt>
                <c:pt idx="4">
                  <c:v>Total:</c:v>
                </c:pt>
              </c:strCache>
            </c:strRef>
          </c:cat>
          <c:val>
            <c:numRef>
              <c:f>Sheet1!$I$6:$I$10</c:f>
              <c:numCache>
                <c:formatCode>General</c:formatCode>
                <c:ptCount val="5"/>
                <c:pt idx="0">
                  <c:v>1</c:v>
                </c:pt>
                <c:pt idx="1">
                  <c:v>3</c:v>
                </c:pt>
                <c:pt idx="2">
                  <c:v>15</c:v>
                </c:pt>
                <c:pt idx="3">
                  <c:v>7</c:v>
                </c:pt>
                <c:pt idx="4">
                  <c:v>26</c:v>
                </c:pt>
              </c:numCache>
            </c:numRef>
          </c:val>
          <c:extLst>
            <c:ext xmlns:c16="http://schemas.microsoft.com/office/drawing/2014/chart" uri="{C3380CC4-5D6E-409C-BE32-E72D297353CC}">
              <c16:uniqueId val="{00000003-AD64-4A20-97D5-A2596AB564DD}"/>
            </c:ext>
          </c:extLst>
        </c:ser>
        <c:dLbls>
          <c:showLegendKey val="0"/>
          <c:showVal val="0"/>
          <c:showCatName val="0"/>
          <c:showSerName val="0"/>
          <c:showPercent val="0"/>
          <c:showBubbleSize val="0"/>
        </c:dLbls>
        <c:gapWidth val="219"/>
        <c:overlap val="-27"/>
        <c:axId val="544590912"/>
        <c:axId val="544586648"/>
      </c:barChart>
      <c:catAx>
        <c:axId val="54459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586648"/>
        <c:crosses val="autoZero"/>
        <c:auto val="1"/>
        <c:lblAlgn val="ctr"/>
        <c:lblOffset val="100"/>
        <c:noMultiLvlLbl val="0"/>
      </c:catAx>
      <c:valAx>
        <c:axId val="544586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59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8092</Words>
  <Characters>46131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Mikaeli Cavell</dc:creator>
  <cp:keywords/>
  <dc:description/>
  <cp:lastModifiedBy>Microsoft Office User</cp:lastModifiedBy>
  <cp:revision>2</cp:revision>
  <dcterms:created xsi:type="dcterms:W3CDTF">2021-05-17T17:42:00Z</dcterms:created>
  <dcterms:modified xsi:type="dcterms:W3CDTF">2021-05-17T17:42:00Z</dcterms:modified>
</cp:coreProperties>
</file>